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22F8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黑体" w:hAnsi="黑体" w:eastAsia="黑体"/>
          <w:sz w:val="52"/>
        </w:rPr>
      </w:pPr>
      <w:bookmarkStart w:id="0" w:name="_Toc466416679"/>
    </w:p>
    <w:p w14:paraId="3E92627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黑体" w:hAnsi="黑体" w:eastAsia="黑体"/>
          <w:sz w:val="52"/>
        </w:rPr>
      </w:pPr>
    </w:p>
    <w:p w14:paraId="06223EF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黑体" w:hAnsi="黑体" w:eastAsia="黑体"/>
          <w:sz w:val="52"/>
        </w:rPr>
      </w:pPr>
    </w:p>
    <w:p w14:paraId="0A3B093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黑体" w:hAnsi="黑体" w:eastAsia="黑体"/>
          <w:sz w:val="52"/>
        </w:rPr>
      </w:pPr>
    </w:p>
    <w:p w14:paraId="523BCA5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hint="eastAsia" w:ascii="黑体" w:hAnsi="黑体" w:eastAsia="黑体"/>
          <w:sz w:val="52"/>
          <w:lang w:val="en-US" w:eastAsia="zh-CN"/>
        </w:rPr>
      </w:pPr>
      <w:bookmarkStart w:id="1" w:name="概述"/>
      <w:bookmarkStart w:id="2" w:name="_Toc446934601"/>
      <w:r>
        <w:rPr>
          <w:rFonts w:hint="eastAsia" w:ascii="黑体" w:hAnsi="黑体" w:eastAsia="黑体"/>
          <w:sz w:val="52"/>
          <w:lang w:val="en-US" w:eastAsia="zh-CN"/>
        </w:rPr>
        <w:t>物联网超声波水表</w:t>
      </w:r>
    </w:p>
    <w:p w14:paraId="4A3B68B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黑体" w:hAnsi="黑体" w:eastAsia="黑体"/>
          <w:sz w:val="52"/>
        </w:rPr>
      </w:pPr>
      <w:r>
        <w:rPr>
          <w:rFonts w:ascii="黑体" w:hAnsi="黑体" w:eastAsia="黑体"/>
          <w:sz w:val="52"/>
        </w:rPr>
        <w:t>测试用例</w:t>
      </w:r>
    </w:p>
    <w:p w14:paraId="328EF12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黑体" w:hAnsi="黑体" w:eastAsia="黑体"/>
          <w:sz w:val="52"/>
        </w:rPr>
      </w:pPr>
    </w:p>
    <w:p w14:paraId="67ECD84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黑体" w:hAnsi="黑体" w:eastAsia="黑体"/>
          <w:sz w:val="52"/>
        </w:rPr>
      </w:pPr>
    </w:p>
    <w:p w14:paraId="5AAADC7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黑体" w:hAnsi="黑体" w:eastAsia="黑体"/>
          <w:sz w:val="52"/>
        </w:rPr>
      </w:pPr>
    </w:p>
    <w:p w14:paraId="5161D84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黑体" w:hAnsi="黑体" w:eastAsia="黑体"/>
          <w:sz w:val="52"/>
        </w:rPr>
      </w:pPr>
    </w:p>
    <w:p w14:paraId="0E30615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黑体" w:hAnsi="黑体" w:eastAsia="黑体"/>
          <w:sz w:val="52"/>
        </w:rPr>
      </w:pPr>
    </w:p>
    <w:p w14:paraId="4C028C9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黑体" w:hAnsi="黑体" w:eastAsia="黑体"/>
          <w:sz w:val="52"/>
        </w:rPr>
      </w:pPr>
    </w:p>
    <w:p w14:paraId="3969E81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宋体" w:hAnsi="宋体"/>
          <w:sz w:val="28"/>
          <w:szCs w:val="28"/>
        </w:rPr>
      </w:pPr>
    </w:p>
    <w:p w14:paraId="7C1FE2B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成都同飞科技有限责任公司</w:t>
      </w:r>
    </w:p>
    <w:p w14:paraId="5E85FA0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</w:pPr>
      <w:r>
        <w:rPr>
          <w:rFonts w:hint="eastAsia" w:ascii="宋体" w:hAnsi="宋体"/>
          <w:sz w:val="28"/>
          <w:szCs w:val="28"/>
        </w:rPr>
        <w:t>20</w:t>
      </w:r>
      <w:r>
        <w:rPr>
          <w:rFonts w:hint="eastAsia" w:ascii="宋体" w:hAnsi="宋体"/>
          <w:sz w:val="28"/>
          <w:szCs w:val="28"/>
          <w:lang w:val="en-US" w:eastAsia="zh-CN"/>
        </w:rPr>
        <w:t>26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月</w:t>
      </w:r>
      <w:bookmarkEnd w:id="1"/>
      <w:bookmarkEnd w:id="2"/>
    </w:p>
    <w:p w14:paraId="1F1E1DD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宋体" w:hAnsi="宋体"/>
          <w:sz w:val="24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97E54A2">
      <w:pPr>
        <w:pStyle w:val="38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center"/>
        <w:textAlignment w:val="auto"/>
        <w:outlineLvl w:val="0"/>
        <w:rPr>
          <w:rFonts w:hint="eastAsia" w:ascii="宋体" w:hAnsi="宋体" w:eastAsia="宋体" w:cs="宋体"/>
          <w:b w:val="0"/>
          <w:bCs w:val="0"/>
          <w:color w:val="2E74B5"/>
          <w:kern w:val="0"/>
          <w:sz w:val="24"/>
          <w:szCs w:val="24"/>
          <w:lang w:val="en-US" w:eastAsia="zh-CN" w:bidi="ar-SA"/>
        </w:rPr>
      </w:pPr>
      <w:bookmarkStart w:id="3" w:name="_Toc28137"/>
      <w:bookmarkStart w:id="4" w:name="_Toc5013"/>
      <w:bookmarkStart w:id="5" w:name="_Toc16376"/>
      <w:bookmarkStart w:id="6" w:name="_Toc29409"/>
      <w:bookmarkStart w:id="7" w:name="_Toc10148"/>
      <w:bookmarkStart w:id="8" w:name="_Toc32464"/>
      <w:bookmarkStart w:id="9" w:name="_Toc24392"/>
      <w:bookmarkStart w:id="10" w:name="_Toc10469"/>
      <w:r>
        <w:rPr>
          <w:rFonts w:hint="eastAsia" w:ascii="宋体" w:hAnsi="宋体" w:eastAsia="宋体" w:cs="宋体"/>
          <w:b/>
          <w:bCs/>
          <w:color w:val="auto"/>
          <w:lang w:val="zh-CN"/>
        </w:rPr>
        <w:t>目录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TOC \o "1-3" \h \u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</w:p>
    <w:p w14:paraId="07191F59">
      <w:pPr>
        <w:pStyle w:val="18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_Toc10469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eastAsia" w:ascii="宋体" w:hAnsi="宋体" w:eastAsia="宋体" w:cs="宋体"/>
          <w:bCs/>
          <w:lang w:val="zh-CN"/>
        </w:rPr>
        <w:t>目录</w:t>
      </w:r>
      <w:r>
        <w:tab/>
      </w:r>
      <w:r>
        <w:fldChar w:fldCharType="begin"/>
      </w:r>
      <w:r>
        <w:instrText xml:space="preserve"> PAGEREF _Toc10469 \h </w:instrText>
      </w:r>
      <w:r>
        <w:fldChar w:fldCharType="separate"/>
      </w:r>
      <w:r>
        <w:t>2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0B8350B0">
      <w:pPr>
        <w:pStyle w:val="18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_Toc824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</w:rPr>
        <w:t xml:space="preserve">1. </w:t>
      </w:r>
      <w:r>
        <w:rPr>
          <w:rFonts w:hint="eastAsia"/>
        </w:rPr>
        <w:t>引言</w:t>
      </w:r>
      <w:r>
        <w:tab/>
      </w:r>
      <w:r>
        <w:fldChar w:fldCharType="begin"/>
      </w:r>
      <w:r>
        <w:instrText xml:space="preserve"> PAGEREF _Toc824 \h </w:instrText>
      </w:r>
      <w:r>
        <w:fldChar w:fldCharType="separate"/>
      </w:r>
      <w:r>
        <w:t>1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39C9A077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_Toc23178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</w:rPr>
        <w:t xml:space="preserve">1.1. </w:t>
      </w:r>
      <w:r>
        <w:rPr>
          <w:rFonts w:hint="eastAsia"/>
        </w:rPr>
        <w:t>编写目的</w:t>
      </w:r>
      <w:r>
        <w:tab/>
      </w:r>
      <w:r>
        <w:fldChar w:fldCharType="begin"/>
      </w:r>
      <w:r>
        <w:instrText xml:space="preserve"> PAGEREF _Toc23178 \h </w:instrText>
      </w:r>
      <w:r>
        <w:fldChar w:fldCharType="separate"/>
      </w:r>
      <w:r>
        <w:t>1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5C81DA64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_Toc4193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</w:rPr>
        <w:t xml:space="preserve">1.2. </w:t>
      </w:r>
      <w:r>
        <w:rPr>
          <w:rFonts w:hint="eastAsia"/>
        </w:rPr>
        <w:t>文档概述</w:t>
      </w:r>
      <w:r>
        <w:tab/>
      </w:r>
      <w:r>
        <w:fldChar w:fldCharType="begin"/>
      </w:r>
      <w:r>
        <w:instrText xml:space="preserve"> PAGEREF _Toc4193 \h </w:instrText>
      </w:r>
      <w:r>
        <w:fldChar w:fldCharType="separate"/>
      </w:r>
      <w:r>
        <w:t>1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715C6896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_Toc12135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</w:rPr>
        <w:t xml:space="preserve">1.3. </w:t>
      </w:r>
      <w:r>
        <w:rPr>
          <w:rFonts w:hint="eastAsia"/>
        </w:rPr>
        <w:t>预期读者和阅读建议</w:t>
      </w:r>
      <w:r>
        <w:tab/>
      </w:r>
      <w:r>
        <w:fldChar w:fldCharType="begin"/>
      </w:r>
      <w:r>
        <w:instrText xml:space="preserve"> PAGEREF _Toc12135 \h </w:instrText>
      </w:r>
      <w:r>
        <w:fldChar w:fldCharType="separate"/>
      </w:r>
      <w:r>
        <w:t>1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6B30AD4B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_Toc29924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1.4. </w:t>
      </w:r>
      <w:r>
        <w:rPr>
          <w:rFonts w:hint="eastAsia"/>
          <w:lang w:val="en-US" w:eastAsia="zh-CN"/>
        </w:rPr>
        <w:t>参考文件及定义</w:t>
      </w:r>
      <w:r>
        <w:tab/>
      </w:r>
      <w:r>
        <w:fldChar w:fldCharType="begin"/>
      </w:r>
      <w:r>
        <w:instrText xml:space="preserve"> PAGEREF _Toc29924 \h </w:instrText>
      </w:r>
      <w:r>
        <w:fldChar w:fldCharType="separate"/>
      </w:r>
      <w:r>
        <w:t>1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20376DA5">
      <w:pPr>
        <w:pStyle w:val="18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_Toc20531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</w:rPr>
        <w:t xml:space="preserve">2. </w:t>
      </w:r>
      <w:r>
        <w:rPr>
          <w:rFonts w:hint="eastAsia"/>
        </w:rPr>
        <w:t>概述</w:t>
      </w:r>
      <w:r>
        <w:tab/>
      </w:r>
      <w:r>
        <w:fldChar w:fldCharType="begin"/>
      </w:r>
      <w:r>
        <w:instrText xml:space="preserve"> PAGEREF _Toc20531 \h </w:instrText>
      </w:r>
      <w:r>
        <w:fldChar w:fldCharType="separate"/>
      </w:r>
      <w:r>
        <w:t>1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47992B38">
      <w:pPr>
        <w:pStyle w:val="18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_Toc16549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 </w:t>
      </w:r>
      <w:r>
        <w:rPr>
          <w:rFonts w:hint="eastAsia"/>
          <w:lang w:val="en-US" w:eastAsia="zh-CN"/>
        </w:rPr>
        <w:t>NB通讯测试</w:t>
      </w:r>
      <w:r>
        <w:tab/>
      </w:r>
      <w:r>
        <w:fldChar w:fldCharType="begin"/>
      </w:r>
      <w:r>
        <w:instrText xml:space="preserve"> PAGEREF _Toc16549 \h </w:instrText>
      </w:r>
      <w:r>
        <w:fldChar w:fldCharType="separate"/>
      </w:r>
      <w:r>
        <w:t>1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501B3E96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_Toc5920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3.1. </w:t>
      </w:r>
      <w:r>
        <w:rPr>
          <w:rFonts w:hint="eastAsia"/>
          <w:lang w:val="en-US" w:eastAsia="zh-CN"/>
        </w:rPr>
        <w:t>参考文档</w:t>
      </w:r>
      <w:r>
        <w:tab/>
      </w:r>
      <w:r>
        <w:fldChar w:fldCharType="begin"/>
      </w:r>
      <w:r>
        <w:instrText xml:space="preserve"> PAGEREF _Toc5920 \h </w:instrText>
      </w:r>
      <w:r>
        <w:fldChar w:fldCharType="separate"/>
      </w:r>
      <w:r>
        <w:t>1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581CD67A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_Toc20327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3.2. </w:t>
      </w:r>
      <w:r>
        <w:rPr>
          <w:rFonts w:hint="eastAsia"/>
          <w:lang w:val="en-US" w:eastAsia="zh-CN"/>
        </w:rPr>
        <w:t>数据上报</w:t>
      </w:r>
      <w:r>
        <w:tab/>
      </w:r>
      <w:r>
        <w:fldChar w:fldCharType="begin"/>
      </w:r>
      <w:r>
        <w:instrText xml:space="preserve"> PAGEREF _Toc20327 \h </w:instrText>
      </w:r>
      <w:r>
        <w:fldChar w:fldCharType="separate"/>
      </w:r>
      <w:r>
        <w:t>1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69375A0D">
      <w:pPr>
        <w:pStyle w:val="14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_Toc6620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3.2.1. </w:t>
      </w:r>
      <w:r>
        <w:rPr>
          <w:rFonts w:hint="eastAsia"/>
          <w:lang w:val="en-US" w:eastAsia="zh-CN"/>
        </w:rPr>
        <w:t>手动触发上报</w:t>
      </w:r>
      <w:r>
        <w:tab/>
      </w:r>
      <w:r>
        <w:fldChar w:fldCharType="begin"/>
      </w:r>
      <w:r>
        <w:instrText xml:space="preserve"> PAGEREF _Toc6620 \h </w:instrText>
      </w:r>
      <w:r>
        <w:fldChar w:fldCharType="separate"/>
      </w:r>
      <w:r>
        <w:t>2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2C90C7A9">
      <w:pPr>
        <w:pStyle w:val="14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_Toc11596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3.2.2. </w:t>
      </w:r>
      <w:r>
        <w:rPr>
          <w:rFonts w:hint="eastAsia"/>
          <w:lang w:val="en-US" w:eastAsia="zh-CN"/>
        </w:rPr>
        <w:t>定时上报</w:t>
      </w:r>
      <w:r>
        <w:tab/>
      </w:r>
      <w:r>
        <w:fldChar w:fldCharType="begin"/>
      </w:r>
      <w:r>
        <w:instrText xml:space="preserve"> PAGEREF _Toc11596 \h </w:instrText>
      </w:r>
      <w:r>
        <w:fldChar w:fldCharType="separate"/>
      </w:r>
      <w:r>
        <w:t>2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7221E6B5">
      <w:pPr>
        <w:pStyle w:val="14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_Toc29826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3.2.3. </w:t>
      </w:r>
      <w:r>
        <w:rPr>
          <w:rFonts w:hint="eastAsia"/>
          <w:highlight w:val="none"/>
          <w:lang w:val="en-US" w:eastAsia="zh-CN"/>
        </w:rPr>
        <w:t>1小时补报</w:t>
      </w:r>
      <w:r>
        <w:tab/>
      </w:r>
      <w:r>
        <w:fldChar w:fldCharType="begin"/>
      </w:r>
      <w:r>
        <w:instrText xml:space="preserve"> PAGEREF _Toc29826 \h </w:instrText>
      </w:r>
      <w:r>
        <w:fldChar w:fldCharType="separate"/>
      </w:r>
      <w:r>
        <w:t>2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1067B3AD">
      <w:pPr>
        <w:pStyle w:val="14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_Toc19580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3.2.4. </w:t>
      </w:r>
      <w:r>
        <w:rPr>
          <w:rFonts w:hint="eastAsia"/>
          <w:lang w:val="en-US" w:eastAsia="zh-CN"/>
        </w:rPr>
        <w:t>结算日上报</w:t>
      </w:r>
      <w:r>
        <w:tab/>
      </w:r>
      <w:r>
        <w:fldChar w:fldCharType="begin"/>
      </w:r>
      <w:r>
        <w:instrText xml:space="preserve"> PAGEREF _Toc19580 \h </w:instrText>
      </w:r>
      <w:r>
        <w:fldChar w:fldCharType="separate"/>
      </w:r>
      <w:r>
        <w:t>3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6FF23B09">
      <w:pPr>
        <w:pStyle w:val="14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_Toc25901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3.2.5. </w:t>
      </w:r>
      <w:r>
        <w:rPr>
          <w:rFonts w:hint="eastAsia"/>
          <w:lang w:val="en-US" w:eastAsia="zh-CN"/>
        </w:rPr>
        <w:t>异常上报</w:t>
      </w:r>
      <w:r>
        <w:tab/>
      </w:r>
      <w:r>
        <w:fldChar w:fldCharType="begin"/>
      </w:r>
      <w:r>
        <w:instrText xml:space="preserve"> PAGEREF _Toc25901 \h </w:instrText>
      </w:r>
      <w:r>
        <w:fldChar w:fldCharType="separate"/>
      </w:r>
      <w:r>
        <w:t>3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61EDE22B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_Toc31986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3.3. </w:t>
      </w:r>
      <w:r>
        <w:rPr>
          <w:rFonts w:hint="eastAsia"/>
          <w:lang w:val="en-US" w:eastAsia="zh-CN"/>
        </w:rPr>
        <w:t xml:space="preserve">设置表端 </w:t>
      </w:r>
      <w:r>
        <w:rPr>
          <w:rFonts w:hint="default"/>
          <w:lang w:val="en-US" w:eastAsia="zh-CN"/>
        </w:rPr>
        <w:t>IP 和端口</w:t>
      </w:r>
      <w:r>
        <w:tab/>
      </w:r>
      <w:r>
        <w:fldChar w:fldCharType="begin"/>
      </w:r>
      <w:r>
        <w:instrText xml:space="preserve"> PAGEREF _Toc31986 \h </w:instrText>
      </w:r>
      <w:r>
        <w:fldChar w:fldCharType="separate"/>
      </w:r>
      <w:r>
        <w:t>7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1BD4840E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_Toc1290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3.4. </w:t>
      </w:r>
      <w:r>
        <w:rPr>
          <w:rFonts w:hint="eastAsia"/>
          <w:lang w:val="en-US" w:eastAsia="zh-CN"/>
        </w:rPr>
        <w:t>设置表端底读</w:t>
      </w:r>
      <w:r>
        <w:tab/>
      </w:r>
      <w:r>
        <w:fldChar w:fldCharType="begin"/>
      </w:r>
      <w:r>
        <w:instrText xml:space="preserve"> PAGEREF _Toc1290 \h </w:instrText>
      </w:r>
      <w:r>
        <w:fldChar w:fldCharType="separate"/>
      </w:r>
      <w:r>
        <w:t>8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02742672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_Toc24509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3.5. </w:t>
      </w:r>
      <w:r>
        <w:rPr>
          <w:rFonts w:hint="eastAsia"/>
          <w:highlight w:val="none"/>
          <w:lang w:val="en-US" w:eastAsia="zh-CN"/>
        </w:rPr>
        <w:t>读月结数据</w:t>
      </w:r>
      <w:r>
        <w:tab/>
      </w:r>
      <w:r>
        <w:fldChar w:fldCharType="begin"/>
      </w:r>
      <w:r>
        <w:instrText xml:space="preserve"> PAGEREF _Toc24509 \h </w:instrText>
      </w:r>
      <w:r>
        <w:fldChar w:fldCharType="separate"/>
      </w:r>
      <w:r>
        <w:t>8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08741869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_Toc4895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3.6. </w:t>
      </w:r>
      <w:r>
        <w:rPr>
          <w:rFonts w:hint="eastAsia"/>
          <w:lang w:val="en-US" w:eastAsia="zh-CN"/>
        </w:rPr>
        <w:t>读日结数据</w:t>
      </w:r>
      <w:r>
        <w:tab/>
      </w:r>
      <w:r>
        <w:fldChar w:fldCharType="begin"/>
      </w:r>
      <w:r>
        <w:instrText xml:space="preserve"> PAGEREF _Toc4895 \h </w:instrText>
      </w:r>
      <w:r>
        <w:fldChar w:fldCharType="separate"/>
      </w:r>
      <w:r>
        <w:t>8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00F0A6D6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_Toc6456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3.7. </w:t>
      </w:r>
      <w:r>
        <w:rPr>
          <w:rFonts w:hint="eastAsia"/>
          <w:lang w:val="en-US" w:eastAsia="zh-CN"/>
        </w:rPr>
        <w:t>读时结数据</w:t>
      </w:r>
      <w:r>
        <w:tab/>
      </w:r>
      <w:r>
        <w:fldChar w:fldCharType="begin"/>
      </w:r>
      <w:r>
        <w:instrText xml:space="preserve"> PAGEREF _Toc6456 \h </w:instrText>
      </w:r>
      <w:r>
        <w:fldChar w:fldCharType="separate"/>
      </w:r>
      <w:r>
        <w:t>9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54835026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_Toc9760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3.8. </w:t>
      </w:r>
      <w:r>
        <w:rPr>
          <w:rFonts w:hint="eastAsia"/>
          <w:lang w:val="en-US" w:eastAsia="zh-CN"/>
        </w:rPr>
        <w:t>读5分钟密集数据</w:t>
      </w:r>
      <w:r>
        <w:tab/>
      </w:r>
      <w:r>
        <w:fldChar w:fldCharType="begin"/>
      </w:r>
      <w:r>
        <w:instrText xml:space="preserve"> PAGEREF _Toc9760 \h </w:instrText>
      </w:r>
      <w:r>
        <w:fldChar w:fldCharType="separate"/>
      </w:r>
      <w:r>
        <w:t>9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0D1C4D9E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_Toc25088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3.9. </w:t>
      </w:r>
      <w:r>
        <w:rPr>
          <w:rFonts w:hint="eastAsia"/>
          <w:lang w:val="en-US" w:eastAsia="zh-CN"/>
        </w:rPr>
        <w:t>读日志数据</w:t>
      </w:r>
      <w:r>
        <w:tab/>
      </w:r>
      <w:r>
        <w:fldChar w:fldCharType="begin"/>
      </w:r>
      <w:r>
        <w:instrText xml:space="preserve"> PAGEREF _Toc25088 \h </w:instrText>
      </w:r>
      <w:r>
        <w:fldChar w:fldCharType="separate"/>
      </w:r>
      <w:r>
        <w:t>10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24BA8E47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_Toc1540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3.10. </w:t>
      </w:r>
      <w:r>
        <w:rPr>
          <w:rFonts w:hint="eastAsia"/>
          <w:lang w:val="en-US" w:eastAsia="zh-CN"/>
        </w:rPr>
        <w:t>表端断网</w:t>
      </w:r>
      <w:r>
        <w:tab/>
      </w:r>
      <w:r>
        <w:fldChar w:fldCharType="begin"/>
      </w:r>
      <w:r>
        <w:instrText xml:space="preserve"> PAGEREF _Toc1540 \h </w:instrText>
      </w:r>
      <w:r>
        <w:fldChar w:fldCharType="separate"/>
      </w:r>
      <w:r>
        <w:t>10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2BF6E984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_Toc21692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3.11. </w:t>
      </w:r>
      <w:r>
        <w:rPr>
          <w:rFonts w:hint="eastAsia"/>
          <w:lang w:val="en-US" w:eastAsia="zh-CN"/>
        </w:rPr>
        <w:t>设置设备升级</w:t>
      </w:r>
      <w:r>
        <w:tab/>
      </w:r>
      <w:r>
        <w:fldChar w:fldCharType="begin"/>
      </w:r>
      <w:r>
        <w:instrText xml:space="preserve"> PAGEREF _Toc21692 \h </w:instrText>
      </w:r>
      <w:r>
        <w:fldChar w:fldCharType="separate"/>
      </w:r>
      <w:r>
        <w:t>10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7725CB25">
      <w:pPr>
        <w:pStyle w:val="18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_Toc13119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 </w:t>
      </w:r>
      <w:r>
        <w:rPr>
          <w:rFonts w:hint="eastAsia"/>
          <w:lang w:val="en-US" w:eastAsia="zh-CN"/>
        </w:rPr>
        <w:t>红外通讯测试</w:t>
      </w:r>
      <w:r>
        <w:tab/>
      </w:r>
      <w:r>
        <w:fldChar w:fldCharType="begin"/>
      </w:r>
      <w:r>
        <w:instrText xml:space="preserve"> PAGEREF _Toc13119 \h </w:instrText>
      </w:r>
      <w:r>
        <w:fldChar w:fldCharType="separate"/>
      </w:r>
      <w:r>
        <w:t>11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7BDA7BEA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_Toc1767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4.1. </w:t>
      </w:r>
      <w:r>
        <w:rPr>
          <w:rFonts w:hint="eastAsia"/>
          <w:lang w:val="en-US" w:eastAsia="zh-CN"/>
        </w:rPr>
        <w:t>设置表地址</w:t>
      </w:r>
      <w:r>
        <w:tab/>
      </w:r>
      <w:r>
        <w:fldChar w:fldCharType="begin"/>
      </w:r>
      <w:r>
        <w:instrText xml:space="preserve"> PAGEREF _Toc1767 \h </w:instrText>
      </w:r>
      <w:r>
        <w:fldChar w:fldCharType="separate"/>
      </w:r>
      <w:r>
        <w:t>11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285E4FEE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_Toc4296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4.2. </w:t>
      </w:r>
      <w:r>
        <w:rPr>
          <w:rFonts w:hint="eastAsia"/>
          <w:lang w:val="en-US" w:eastAsia="zh-CN"/>
        </w:rPr>
        <w:t>设置硬件参数</w:t>
      </w:r>
      <w:r>
        <w:tab/>
      </w:r>
      <w:r>
        <w:fldChar w:fldCharType="begin"/>
      </w:r>
      <w:r>
        <w:instrText xml:space="preserve"> PAGEREF _Toc4296 \h </w:instrText>
      </w:r>
      <w:r>
        <w:fldChar w:fldCharType="separate"/>
      </w:r>
      <w:r>
        <w:t>12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27431E97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_Toc11592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4.3. </w:t>
      </w:r>
      <w:r>
        <w:rPr>
          <w:rFonts w:hint="eastAsia"/>
          <w:lang w:val="en-US" w:eastAsia="zh-CN"/>
        </w:rPr>
        <w:t>触发主动上报</w:t>
      </w:r>
      <w:r>
        <w:tab/>
      </w:r>
      <w:r>
        <w:fldChar w:fldCharType="begin"/>
      </w:r>
      <w:r>
        <w:instrText xml:space="preserve"> PAGEREF _Toc11592 \h </w:instrText>
      </w:r>
      <w:r>
        <w:fldChar w:fldCharType="separate"/>
      </w:r>
      <w:r>
        <w:t>12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0989EA9E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_Toc3925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4.4. </w:t>
      </w:r>
      <w:r>
        <w:rPr>
          <w:rFonts w:hint="eastAsia" w:ascii="Times New Roman" w:hAnsi="Times New Roman" w:cs="Times New Roman"/>
          <w:bCs/>
          <w:lang w:val="en-US" w:eastAsia="zh-CN"/>
        </w:rPr>
        <w:t>设置表端IP和端口</w:t>
      </w:r>
      <w:r>
        <w:tab/>
      </w:r>
      <w:r>
        <w:fldChar w:fldCharType="begin"/>
      </w:r>
      <w:r>
        <w:instrText xml:space="preserve"> PAGEREF _Toc3925 \h </w:instrText>
      </w:r>
      <w:r>
        <w:fldChar w:fldCharType="separate"/>
      </w:r>
      <w:r>
        <w:t>12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4BE61DFE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_Toc20659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4.5. </w:t>
      </w:r>
      <w:r>
        <w:rPr>
          <w:rFonts w:hint="eastAsia" w:ascii="Times New Roman" w:hAnsi="Times New Roman" w:cs="Times New Roman"/>
          <w:bCs/>
          <w:lang w:val="en-US" w:eastAsia="zh-CN"/>
        </w:rPr>
        <w:t>设置表端日期时间</w:t>
      </w:r>
      <w:r>
        <w:tab/>
      </w:r>
      <w:r>
        <w:fldChar w:fldCharType="begin"/>
      </w:r>
      <w:r>
        <w:instrText xml:space="preserve"> PAGEREF _Toc20659 \h </w:instrText>
      </w:r>
      <w:r>
        <w:fldChar w:fldCharType="separate"/>
      </w:r>
      <w:r>
        <w:t>13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51B4792A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_Toc27510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4.6. </w:t>
      </w:r>
      <w:r>
        <w:rPr>
          <w:rFonts w:hint="eastAsia" w:ascii="Times New Roman" w:hAnsi="Times New Roman" w:cs="Times New Roman"/>
          <w:bCs/>
          <w:lang w:val="en-US" w:eastAsia="zh-CN"/>
        </w:rPr>
        <w:t>设置定时上报周期</w:t>
      </w:r>
      <w:r>
        <w:tab/>
      </w:r>
      <w:r>
        <w:fldChar w:fldCharType="begin"/>
      </w:r>
      <w:r>
        <w:instrText xml:space="preserve"> PAGEREF _Toc27510 \h </w:instrText>
      </w:r>
      <w:r>
        <w:fldChar w:fldCharType="separate"/>
      </w:r>
      <w:r>
        <w:t>13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0E84D4D4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_Toc32329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4.7. </w:t>
      </w:r>
      <w:r>
        <w:rPr>
          <w:rFonts w:hint="eastAsia" w:ascii="Times New Roman" w:hAnsi="Times New Roman" w:cs="Times New Roman"/>
          <w:bCs/>
          <w:lang w:val="en-US" w:eastAsia="zh-CN"/>
        </w:rPr>
        <w:t>设置DMA定时上报周期</w:t>
      </w:r>
      <w:r>
        <w:tab/>
      </w:r>
      <w:r>
        <w:fldChar w:fldCharType="begin"/>
      </w:r>
      <w:r>
        <w:instrText xml:space="preserve"> PAGEREF _Toc32329 \h </w:instrText>
      </w:r>
      <w:r>
        <w:fldChar w:fldCharType="separate"/>
      </w:r>
      <w:r>
        <w:t>13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21FBFC49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_Toc23917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4.8. </w:t>
      </w:r>
      <w:r>
        <w:rPr>
          <w:rFonts w:hint="eastAsia"/>
          <w:lang w:val="en-US" w:eastAsia="zh-CN"/>
        </w:rPr>
        <w:t>大流量告警</w:t>
      </w:r>
      <w:r>
        <w:tab/>
      </w:r>
      <w:r>
        <w:fldChar w:fldCharType="begin"/>
      </w:r>
      <w:r>
        <w:instrText xml:space="preserve"> PAGEREF _Toc23917 \h </w:instrText>
      </w:r>
      <w:r>
        <w:fldChar w:fldCharType="separate"/>
      </w:r>
      <w:r>
        <w:t>14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6DA4F785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_Toc30297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4.9. </w:t>
      </w:r>
      <w:r>
        <w:rPr>
          <w:rFonts w:hint="eastAsia"/>
          <w:lang w:val="en-US" w:eastAsia="zh-CN"/>
        </w:rPr>
        <w:t>持续流量监测</w:t>
      </w:r>
      <w:r>
        <w:tab/>
      </w:r>
      <w:r>
        <w:fldChar w:fldCharType="begin"/>
      </w:r>
      <w:r>
        <w:instrText xml:space="preserve"> PAGEREF _Toc30297 \h </w:instrText>
      </w:r>
      <w:r>
        <w:fldChar w:fldCharType="separate"/>
      </w:r>
      <w:r>
        <w:t>14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0A29F87A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_Toc20733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4.10. </w:t>
      </w:r>
      <w:r>
        <w:rPr>
          <w:rFonts w:hint="eastAsia"/>
          <w:lang w:val="en-US" w:eastAsia="zh-CN"/>
        </w:rPr>
        <w:t>渗漏流量监测</w:t>
      </w:r>
      <w:r>
        <w:tab/>
      </w:r>
      <w:r>
        <w:fldChar w:fldCharType="begin"/>
      </w:r>
      <w:r>
        <w:instrText xml:space="preserve"> PAGEREF _Toc20733 \h </w:instrText>
      </w:r>
      <w:r>
        <w:fldChar w:fldCharType="separate"/>
      </w:r>
      <w:r>
        <w:t>14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2731B27A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_Toc14211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4.11. </w:t>
      </w:r>
      <w:r>
        <w:rPr>
          <w:rFonts w:hint="eastAsia" w:ascii="Times New Roman" w:hAnsi="Times New Roman" w:cs="Times New Roman"/>
          <w:bCs/>
          <w:lang w:val="en-US" w:eastAsia="zh-CN"/>
        </w:rPr>
        <w:t>设置表端压力告警参数（无法测试）</w:t>
      </w:r>
      <w:r>
        <w:tab/>
      </w:r>
      <w:r>
        <w:fldChar w:fldCharType="begin"/>
      </w:r>
      <w:r>
        <w:instrText xml:space="preserve"> PAGEREF _Toc14211 \h </w:instrText>
      </w:r>
      <w:r>
        <w:fldChar w:fldCharType="separate"/>
      </w:r>
      <w:r>
        <w:t>15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22EEE7E7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_Toc11403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4.12. </w:t>
      </w:r>
      <w:r>
        <w:rPr>
          <w:rFonts w:hint="eastAsia" w:ascii="Times New Roman" w:hAnsi="Times New Roman" w:cs="Times New Roman"/>
          <w:bCs/>
          <w:lang w:val="en-US" w:eastAsia="zh-CN"/>
        </w:rPr>
        <w:t>设置表端温度告警参数</w:t>
      </w:r>
      <w:r>
        <w:tab/>
      </w:r>
      <w:r>
        <w:fldChar w:fldCharType="begin"/>
      </w:r>
      <w:r>
        <w:instrText xml:space="preserve"> PAGEREF _Toc11403 \h </w:instrText>
      </w:r>
      <w:r>
        <w:fldChar w:fldCharType="separate"/>
      </w:r>
      <w:r>
        <w:t>15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200CEB4D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_Toc28632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4.13. </w:t>
      </w:r>
      <w:r>
        <w:rPr>
          <w:rFonts w:hint="eastAsia" w:ascii="Times New Roman" w:hAnsi="Times New Roman" w:cs="Times New Roman"/>
          <w:bCs/>
          <w:lang w:val="en-US" w:eastAsia="zh-CN"/>
        </w:rPr>
        <w:t>设置表端结算日</w:t>
      </w:r>
      <w:r>
        <w:tab/>
      </w:r>
      <w:r>
        <w:fldChar w:fldCharType="begin"/>
      </w:r>
      <w:r>
        <w:instrText xml:space="preserve"> PAGEREF _Toc28632 \h </w:instrText>
      </w:r>
      <w:r>
        <w:fldChar w:fldCharType="separate"/>
      </w:r>
      <w:r>
        <w:t>15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4750DB09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_Toc10805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4.14. </w:t>
      </w:r>
      <w:r>
        <w:rPr>
          <w:rFonts w:hint="eastAsia" w:ascii="Times New Roman" w:hAnsi="Times New Roman" w:cs="Times New Roman"/>
          <w:bCs/>
          <w:lang w:val="en-US" w:eastAsia="zh-CN"/>
        </w:rPr>
        <w:t>设置表端底读</w:t>
      </w:r>
      <w:r>
        <w:tab/>
      </w:r>
      <w:r>
        <w:fldChar w:fldCharType="begin"/>
      </w:r>
      <w:r>
        <w:instrText xml:space="preserve"> PAGEREF _Toc10805 \h </w:instrText>
      </w:r>
      <w:r>
        <w:fldChar w:fldCharType="separate"/>
      </w:r>
      <w:r>
        <w:t>15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06C93A98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_Toc27652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4.15. </w:t>
      </w:r>
      <w:r>
        <w:rPr>
          <w:rFonts w:hint="eastAsia" w:ascii="Times New Roman" w:hAnsi="Times New Roman" w:cs="Times New Roman"/>
          <w:bCs/>
          <w:lang w:val="en-US" w:eastAsia="zh-CN"/>
        </w:rPr>
        <w:t>读月结数据</w:t>
      </w:r>
      <w:r>
        <w:tab/>
      </w:r>
      <w:r>
        <w:fldChar w:fldCharType="begin"/>
      </w:r>
      <w:r>
        <w:instrText xml:space="preserve"> PAGEREF _Toc27652 \h </w:instrText>
      </w:r>
      <w:r>
        <w:fldChar w:fldCharType="separate"/>
      </w:r>
      <w:r>
        <w:t>16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4070C2D7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_Toc6871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4.16. </w:t>
      </w:r>
      <w:r>
        <w:rPr>
          <w:rFonts w:hint="eastAsia" w:ascii="Times New Roman" w:hAnsi="Times New Roman" w:cs="Times New Roman"/>
          <w:bCs/>
          <w:lang w:val="en-US" w:eastAsia="zh-CN"/>
        </w:rPr>
        <w:t>读日结数据</w:t>
      </w:r>
      <w:r>
        <w:tab/>
      </w:r>
      <w:r>
        <w:fldChar w:fldCharType="begin"/>
      </w:r>
      <w:r>
        <w:instrText xml:space="preserve"> PAGEREF _Toc6871 \h </w:instrText>
      </w:r>
      <w:r>
        <w:fldChar w:fldCharType="separate"/>
      </w:r>
      <w:r>
        <w:t>16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52B8518B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_Toc7369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4.17. </w:t>
      </w:r>
      <w:r>
        <w:rPr>
          <w:rFonts w:hint="eastAsia" w:ascii="Times New Roman" w:hAnsi="Times New Roman" w:cs="Times New Roman"/>
          <w:bCs/>
          <w:lang w:val="en-US" w:eastAsia="zh-CN"/>
        </w:rPr>
        <w:t>读时结数据</w:t>
      </w:r>
      <w:r>
        <w:tab/>
      </w:r>
      <w:r>
        <w:fldChar w:fldCharType="begin"/>
      </w:r>
      <w:r>
        <w:instrText xml:space="preserve"> PAGEREF _Toc7369 \h </w:instrText>
      </w:r>
      <w:r>
        <w:fldChar w:fldCharType="separate"/>
      </w:r>
      <w:r>
        <w:t>16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2BBD5D00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_Toc27165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4.18. </w:t>
      </w:r>
      <w:r>
        <w:rPr>
          <w:rFonts w:hint="eastAsia" w:ascii="Times New Roman" w:hAnsi="Times New Roman" w:cs="Times New Roman"/>
          <w:bCs/>
          <w:lang w:val="en-US" w:eastAsia="zh-CN"/>
        </w:rPr>
        <w:t>读5分钟数据</w:t>
      </w:r>
      <w:r>
        <w:tab/>
      </w:r>
      <w:r>
        <w:fldChar w:fldCharType="begin"/>
      </w:r>
      <w:r>
        <w:instrText xml:space="preserve"> PAGEREF _Toc27165 \h </w:instrText>
      </w:r>
      <w:r>
        <w:fldChar w:fldCharType="separate"/>
      </w:r>
      <w:r>
        <w:t>17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4CE31B05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_Toc19798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4.19. </w:t>
      </w:r>
      <w:r>
        <w:rPr>
          <w:rFonts w:hint="eastAsia" w:ascii="Times New Roman" w:hAnsi="Times New Roman" w:cs="Times New Roman"/>
          <w:bCs/>
          <w:lang w:val="en-US" w:eastAsia="zh-CN"/>
        </w:rPr>
        <w:t>读日志数据</w:t>
      </w:r>
      <w:r>
        <w:tab/>
      </w:r>
      <w:r>
        <w:fldChar w:fldCharType="begin"/>
      </w:r>
      <w:r>
        <w:instrText xml:space="preserve"> PAGEREF _Toc19798 \h </w:instrText>
      </w:r>
      <w:r>
        <w:fldChar w:fldCharType="separate"/>
      </w:r>
      <w:r>
        <w:t>17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0502CC13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_Toc13310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4.20. </w:t>
      </w:r>
      <w:r>
        <w:rPr>
          <w:rFonts w:hint="eastAsia" w:ascii="Times New Roman" w:hAnsi="Times New Roman" w:cs="Times New Roman"/>
          <w:bCs/>
          <w:lang w:val="en-US" w:eastAsia="zh-CN"/>
        </w:rPr>
        <w:t>读表状态</w:t>
      </w:r>
      <w:r>
        <w:tab/>
      </w:r>
      <w:r>
        <w:fldChar w:fldCharType="begin"/>
      </w:r>
      <w:r>
        <w:instrText xml:space="preserve"> PAGEREF _Toc13310 \h </w:instrText>
      </w:r>
      <w:r>
        <w:fldChar w:fldCharType="separate"/>
      </w:r>
      <w:r>
        <w:t>17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2D748EF9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_Toc14648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 w:ascii="Times New Roman" w:hAnsi="Times New Roman" w:cs="Times New Roman"/>
          <w:bCs/>
          <w:lang w:val="en-US" w:eastAsia="zh-CN"/>
        </w:rPr>
        <w:t xml:space="preserve">4.21. </w:t>
      </w:r>
      <w:r>
        <w:rPr>
          <w:rFonts w:hint="eastAsia" w:ascii="Times New Roman" w:hAnsi="Times New Roman" w:cs="Times New Roman"/>
          <w:bCs/>
          <w:lang w:val="en-US" w:eastAsia="zh-CN"/>
        </w:rPr>
        <w:t>设置</w:t>
      </w:r>
      <w:r>
        <w:rPr>
          <w:rFonts w:hint="default" w:ascii="Times New Roman" w:hAnsi="Times New Roman" w:cs="Times New Roman"/>
          <w:bCs/>
          <w:lang w:val="en-US" w:eastAsia="zh-CN"/>
        </w:rPr>
        <w:t>表端开始升级</w:t>
      </w:r>
      <w:r>
        <w:rPr>
          <w:rFonts w:hint="eastAsia" w:ascii="Times New Roman" w:hAnsi="Times New Roman" w:cs="Times New Roman"/>
          <w:bCs/>
          <w:lang w:val="en-US" w:eastAsia="zh-CN"/>
        </w:rPr>
        <w:t>、升级包及完成没有对应界面内容；</w:t>
      </w:r>
      <w:r>
        <w:tab/>
      </w:r>
      <w:r>
        <w:fldChar w:fldCharType="begin"/>
      </w:r>
      <w:r>
        <w:instrText xml:space="preserve"> PAGEREF _Toc14648 \h </w:instrText>
      </w:r>
      <w:r>
        <w:fldChar w:fldCharType="separate"/>
      </w:r>
      <w:r>
        <w:t>17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22B5EBD4">
      <w:pPr>
        <w:pStyle w:val="18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_Toc32615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5. </w:t>
      </w:r>
      <w:r>
        <w:rPr>
          <w:rFonts w:hint="eastAsia"/>
          <w:lang w:val="en-US" w:eastAsia="zh-CN"/>
        </w:rPr>
        <w:t>液晶显示测试</w:t>
      </w:r>
      <w:r>
        <w:tab/>
      </w:r>
      <w:r>
        <w:fldChar w:fldCharType="begin"/>
      </w:r>
      <w:r>
        <w:instrText xml:space="preserve"> PAGEREF _Toc32615 \h </w:instrText>
      </w:r>
      <w:r>
        <w:fldChar w:fldCharType="separate"/>
      </w:r>
      <w:r>
        <w:t>17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11C4B2A4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_Toc26361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5.1. </w:t>
      </w:r>
      <w:r>
        <w:rPr>
          <w:rFonts w:hint="eastAsia"/>
          <w:lang w:val="en-US" w:eastAsia="zh-CN"/>
        </w:rPr>
        <w:t>上电全显</w:t>
      </w:r>
      <w:r>
        <w:tab/>
      </w:r>
      <w:r>
        <w:fldChar w:fldCharType="begin"/>
      </w:r>
      <w:r>
        <w:instrText xml:space="preserve"> PAGEREF _Toc26361 \h </w:instrText>
      </w:r>
      <w:r>
        <w:fldChar w:fldCharType="separate"/>
      </w:r>
      <w:r>
        <w:t>17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0F2526B2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_Toc3798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5.2. </w:t>
      </w:r>
      <w:r>
        <w:rPr>
          <w:rFonts w:hint="eastAsia"/>
          <w:lang w:val="en-US" w:eastAsia="zh-CN"/>
        </w:rPr>
        <w:t>磁铁翻屏</w:t>
      </w:r>
      <w:r>
        <w:tab/>
      </w:r>
      <w:r>
        <w:fldChar w:fldCharType="begin"/>
      </w:r>
      <w:r>
        <w:instrText xml:space="preserve"> PAGEREF _Toc3798 \h </w:instrText>
      </w:r>
      <w:r>
        <w:fldChar w:fldCharType="separate"/>
      </w:r>
      <w:r>
        <w:t>17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1D605628">
      <w:pPr>
        <w:pStyle w:val="18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_Toc5298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6. </w:t>
      </w:r>
      <w:r>
        <w:rPr>
          <w:rFonts w:hint="eastAsia"/>
          <w:highlight w:val="none"/>
          <w:lang w:val="en-US" w:eastAsia="zh-CN"/>
        </w:rPr>
        <w:t>计量测试</w:t>
      </w:r>
      <w:r>
        <w:tab/>
      </w:r>
      <w:r>
        <w:fldChar w:fldCharType="begin"/>
      </w:r>
      <w:r>
        <w:instrText xml:space="preserve"> PAGEREF _Toc5298 \h </w:instrText>
      </w:r>
      <w:r>
        <w:fldChar w:fldCharType="separate"/>
      </w:r>
      <w:r>
        <w:t>18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427DF10D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_Toc32566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6.1. </w:t>
      </w:r>
      <w:r>
        <w:rPr>
          <w:rFonts w:hint="eastAsia"/>
          <w:highlight w:val="none"/>
          <w:lang w:val="en-US" w:eastAsia="zh-CN"/>
        </w:rPr>
        <w:t>检表测试</w:t>
      </w:r>
      <w:r>
        <w:tab/>
      </w:r>
      <w:r>
        <w:fldChar w:fldCharType="begin"/>
      </w:r>
      <w:r>
        <w:instrText xml:space="preserve"> PAGEREF _Toc32566 \h </w:instrText>
      </w:r>
      <w:r>
        <w:fldChar w:fldCharType="separate"/>
      </w:r>
      <w:r>
        <w:t>18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04781CE9">
      <w:pPr>
        <w:pStyle w:val="18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_Toc11792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7. </w:t>
      </w:r>
      <w:r>
        <w:rPr>
          <w:rFonts w:hint="eastAsia"/>
          <w:lang w:val="en-US" w:eastAsia="zh-CN"/>
        </w:rPr>
        <w:t>功耗测试</w:t>
      </w:r>
      <w:r>
        <w:tab/>
      </w:r>
      <w:r>
        <w:fldChar w:fldCharType="begin"/>
      </w:r>
      <w:r>
        <w:instrText xml:space="preserve"> PAGEREF _Toc11792 \h </w:instrText>
      </w:r>
      <w:r>
        <w:fldChar w:fldCharType="separate"/>
      </w:r>
      <w:r>
        <w:t>18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51A922A1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_Toc28225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7.1. </w:t>
      </w:r>
      <w:r>
        <w:rPr>
          <w:rFonts w:hint="eastAsia"/>
          <w:lang w:val="en-US" w:eastAsia="zh-CN"/>
        </w:rPr>
        <w:t>低功耗测试</w:t>
      </w:r>
      <w:r>
        <w:tab/>
      </w:r>
      <w:r>
        <w:fldChar w:fldCharType="begin"/>
      </w:r>
      <w:r>
        <w:instrText xml:space="preserve"> PAGEREF _Toc28225 \h </w:instrText>
      </w:r>
      <w:r>
        <w:fldChar w:fldCharType="separate"/>
      </w:r>
      <w:r>
        <w:t>18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47AFA3A6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_Toc16287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7.2. </w:t>
      </w:r>
      <w:r>
        <w:rPr>
          <w:rFonts w:hint="eastAsia"/>
          <w:lang w:val="en-US" w:eastAsia="zh-CN"/>
        </w:rPr>
        <w:t>信号中等时功耗测试</w:t>
      </w:r>
      <w:r>
        <w:tab/>
      </w:r>
      <w:r>
        <w:fldChar w:fldCharType="begin"/>
      </w:r>
      <w:r>
        <w:instrText xml:space="preserve"> PAGEREF _Toc16287 \h </w:instrText>
      </w:r>
      <w:r>
        <w:fldChar w:fldCharType="separate"/>
      </w:r>
      <w:r>
        <w:t>18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13EA7CC3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_Toc27942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7.3. </w:t>
      </w:r>
      <w:r>
        <w:rPr>
          <w:rFonts w:hint="eastAsia"/>
          <w:lang w:val="en-US" w:eastAsia="zh-CN"/>
        </w:rPr>
        <w:t>无信号时NB功耗测试111</w:t>
      </w:r>
      <w:r>
        <w:tab/>
      </w:r>
      <w:r>
        <w:fldChar w:fldCharType="begin"/>
      </w:r>
      <w:r>
        <w:instrText xml:space="preserve"> PAGEREF _Toc27942 \h </w:instrText>
      </w:r>
      <w:r>
        <w:fldChar w:fldCharType="separate"/>
      </w:r>
      <w:r>
        <w:t>18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669D0F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195E64F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</w:pPr>
    </w:p>
    <w:p w14:paraId="067FACE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C34768A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</w:pPr>
      <w:bookmarkStart w:id="11" w:name="_Toc5861"/>
      <w:bookmarkStart w:id="12" w:name="_Toc824"/>
      <w:r>
        <w:rPr>
          <w:rFonts w:hint="eastAsia"/>
        </w:rPr>
        <w:t>引言</w:t>
      </w:r>
      <w:bookmarkEnd w:id="0"/>
      <w:bookmarkEnd w:id="11"/>
      <w:bookmarkEnd w:id="12"/>
    </w:p>
    <w:p w14:paraId="233C1137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</w:pPr>
      <w:bookmarkStart w:id="13" w:name="_Toc383532374"/>
      <w:bookmarkStart w:id="14" w:name="_Toc466416680"/>
      <w:bookmarkStart w:id="15" w:name="_Toc19274"/>
      <w:bookmarkStart w:id="16" w:name="_Toc133317375"/>
      <w:bookmarkStart w:id="17" w:name="_Toc463640875"/>
      <w:bookmarkStart w:id="18" w:name="_Toc132959865"/>
      <w:bookmarkStart w:id="19" w:name="_Toc383530931"/>
      <w:bookmarkStart w:id="20" w:name="_Toc23178"/>
      <w:r>
        <w:rPr>
          <w:rFonts w:hint="eastAsia"/>
        </w:rPr>
        <w:t>编写目的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0D29C1A">
      <w:pPr>
        <w:pStyle w:val="39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firstLineChars="0"/>
      </w:pPr>
      <w:r>
        <w:rPr>
          <w:rFonts w:hint="eastAsia"/>
        </w:rPr>
        <w:t>测试用例是</w:t>
      </w:r>
      <w:r>
        <w:rPr>
          <w:rFonts w:hint="eastAsia"/>
          <w:lang w:val="en-US" w:eastAsia="zh-CN"/>
        </w:rPr>
        <w:t>开发</w:t>
      </w:r>
      <w:r>
        <w:rPr>
          <w:rFonts w:hint="eastAsia"/>
        </w:rPr>
        <w:t>和测试人员交流的平台和基础。本文档对功能</w:t>
      </w:r>
      <w:r>
        <w:t>测试</w:t>
      </w:r>
      <w:r>
        <w:rPr>
          <w:rFonts w:hint="eastAsia"/>
        </w:rPr>
        <w:t xml:space="preserve">做全面的描述，并从用户角度描述各部分需求的业务环境、操作流程，以帮助用户判断是否符合需求，或如何修改才能适合需求； </w:t>
      </w:r>
    </w:p>
    <w:p w14:paraId="4F08BFFE">
      <w:pPr>
        <w:pStyle w:val="39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firstLineChars="0"/>
        <w:rPr>
          <w:rFonts w:hint="eastAsia"/>
        </w:rPr>
      </w:pPr>
      <w:r>
        <w:rPr>
          <w:rFonts w:hint="eastAsia"/>
        </w:rPr>
        <w:t>该文档是系统</w:t>
      </w:r>
      <w:r>
        <w:t>测试</w:t>
      </w:r>
      <w:r>
        <w:rPr>
          <w:rFonts w:hint="eastAsia"/>
        </w:rPr>
        <w:t>的基础，也是测试人员与功能设计人员交流的平台。</w:t>
      </w:r>
    </w:p>
    <w:p w14:paraId="62504AA9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</w:pPr>
      <w:bookmarkStart w:id="21" w:name="_Toc466416681"/>
      <w:bookmarkStart w:id="22" w:name="_Toc132959866"/>
      <w:bookmarkStart w:id="23" w:name="_Toc383532375"/>
      <w:bookmarkStart w:id="24" w:name="_Toc463640876"/>
      <w:bookmarkStart w:id="25" w:name="_Toc383530932"/>
      <w:bookmarkStart w:id="26" w:name="_Toc17867"/>
      <w:bookmarkStart w:id="27" w:name="_Toc133317376"/>
      <w:bookmarkStart w:id="28" w:name="_Toc4193"/>
      <w:r>
        <w:rPr>
          <w:rFonts w:hint="eastAsia"/>
        </w:rPr>
        <w:t>文档概述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CA99D86">
      <w:pPr>
        <w:pStyle w:val="39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firstLine="420"/>
      </w:pPr>
      <w:r>
        <w:rPr>
          <w:rFonts w:hint="eastAsia"/>
        </w:rPr>
        <w:t>该文档为</w:t>
      </w:r>
      <w:r>
        <w:rPr>
          <w:rFonts w:hint="eastAsia"/>
          <w:lang w:val="en-US" w:eastAsia="zh-CN"/>
        </w:rPr>
        <w:t>物联网超声波水表</w:t>
      </w:r>
      <w:r>
        <w:rPr>
          <w:rFonts w:hint="eastAsia"/>
        </w:rPr>
        <w:t>功能测试用例，详细阐述功能测试用例。用于指导测试工作，验证功能符合性、正确性。</w:t>
      </w:r>
    </w:p>
    <w:p w14:paraId="5366D89A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</w:pPr>
      <w:bookmarkStart w:id="29" w:name="_Toc383530933"/>
      <w:bookmarkStart w:id="30" w:name="_Toc463640877"/>
      <w:bookmarkStart w:id="31" w:name="_Toc383532376"/>
      <w:bookmarkStart w:id="32" w:name="_Toc466416682"/>
      <w:bookmarkStart w:id="33" w:name="_Toc22309"/>
      <w:bookmarkStart w:id="34" w:name="_Toc177967355"/>
      <w:bookmarkStart w:id="35" w:name="_Toc12135"/>
      <w:r>
        <w:rPr>
          <w:rFonts w:hint="eastAsia"/>
        </w:rPr>
        <w:t>预期读者和阅读建议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6CF1750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</w:pPr>
      <w:r>
        <w:rPr>
          <w:rFonts w:hint="eastAsia"/>
        </w:rPr>
        <w:t>预期的读者和阅读建议</w:t>
      </w:r>
    </w:p>
    <w:tbl>
      <w:tblPr>
        <w:tblStyle w:val="2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1906"/>
        <w:gridCol w:w="4692"/>
      </w:tblGrid>
      <w:tr w14:paraId="26752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892" w:type="dxa"/>
            <w:shd w:val="clear" w:color="auto" w:fill="CCCCCC"/>
            <w:noWrap w:val="0"/>
            <w:vAlign w:val="top"/>
          </w:tcPr>
          <w:p w14:paraId="34D3C33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等线"/>
                <w:b/>
                <w:szCs w:val="21"/>
              </w:rPr>
            </w:pPr>
            <w:r>
              <w:rPr>
                <w:rFonts w:hint="eastAsia" w:ascii="宋体" w:hAnsi="宋体" w:cs="等线"/>
                <w:b/>
                <w:szCs w:val="21"/>
              </w:rPr>
              <w:t>编号</w:t>
            </w:r>
          </w:p>
        </w:tc>
        <w:tc>
          <w:tcPr>
            <w:tcW w:w="1906" w:type="dxa"/>
            <w:shd w:val="clear" w:color="auto" w:fill="CCCCCC"/>
            <w:noWrap w:val="0"/>
            <w:vAlign w:val="top"/>
          </w:tcPr>
          <w:p w14:paraId="3BFFB39B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316" w:firstLineChars="150"/>
              <w:rPr>
                <w:rFonts w:hint="eastAsia" w:ascii="宋体" w:hAnsi="宋体" w:cs="等线"/>
                <w:b/>
                <w:szCs w:val="21"/>
              </w:rPr>
            </w:pPr>
            <w:r>
              <w:rPr>
                <w:rFonts w:hint="eastAsia" w:ascii="宋体" w:hAnsi="宋体" w:cs="等线"/>
                <w:b/>
                <w:szCs w:val="21"/>
              </w:rPr>
              <w:t>阅读对象</w:t>
            </w:r>
          </w:p>
        </w:tc>
        <w:tc>
          <w:tcPr>
            <w:tcW w:w="4692" w:type="dxa"/>
            <w:shd w:val="clear" w:color="auto" w:fill="CCCCCC"/>
            <w:noWrap w:val="0"/>
            <w:vAlign w:val="top"/>
          </w:tcPr>
          <w:p w14:paraId="00DD690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等线"/>
                <w:b/>
                <w:szCs w:val="21"/>
              </w:rPr>
            </w:pPr>
            <w:r>
              <w:rPr>
                <w:rFonts w:hint="eastAsia" w:ascii="宋体" w:hAnsi="宋体" w:cs="等线"/>
                <w:b/>
                <w:szCs w:val="21"/>
              </w:rPr>
              <w:t>阅读建议</w:t>
            </w:r>
          </w:p>
        </w:tc>
      </w:tr>
      <w:tr w14:paraId="1B954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892" w:type="dxa"/>
            <w:noWrap w:val="0"/>
            <w:vAlign w:val="top"/>
          </w:tcPr>
          <w:p w14:paraId="7214594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等线"/>
                <w:szCs w:val="21"/>
                <w:lang w:val="en-US" w:eastAsia="zh-CN"/>
              </w:rPr>
            </w:pPr>
            <w:r>
              <w:rPr>
                <w:rFonts w:hint="eastAsia" w:ascii="宋体" w:hAnsi="宋体" w:cs="等线"/>
                <w:szCs w:val="21"/>
                <w:lang w:val="en-US" w:eastAsia="zh-CN"/>
              </w:rPr>
              <w:t>1</w:t>
            </w:r>
          </w:p>
        </w:tc>
        <w:tc>
          <w:tcPr>
            <w:tcW w:w="1906" w:type="dxa"/>
            <w:noWrap w:val="0"/>
            <w:vAlign w:val="top"/>
          </w:tcPr>
          <w:p w14:paraId="2EC37383">
            <w:pPr>
              <w:keepNext w:val="0"/>
              <w:keepLines w:val="0"/>
              <w:pageBreakBefore w:val="0"/>
              <w:suppressLineNumbers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cs="等线"/>
                <w:szCs w:val="21"/>
              </w:rPr>
            </w:pPr>
            <w:r>
              <w:rPr>
                <w:rFonts w:hint="eastAsia" w:ascii="宋体" w:hAnsi="宋体" w:cs="等线"/>
                <w:szCs w:val="21"/>
              </w:rPr>
              <w:t>测试人员</w:t>
            </w:r>
          </w:p>
        </w:tc>
        <w:tc>
          <w:tcPr>
            <w:tcW w:w="4692" w:type="dxa"/>
            <w:noWrap w:val="0"/>
            <w:vAlign w:val="top"/>
          </w:tcPr>
          <w:p w14:paraId="40BAA969">
            <w:pPr>
              <w:keepNext w:val="0"/>
              <w:keepLines w:val="0"/>
              <w:pageBreakBefore w:val="0"/>
              <w:suppressLineNumbers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等线"/>
                <w:szCs w:val="21"/>
              </w:rPr>
            </w:pPr>
            <w:r>
              <w:rPr>
                <w:rFonts w:hint="eastAsia" w:ascii="宋体" w:hAnsi="宋体" w:cs="等线"/>
                <w:szCs w:val="21"/>
              </w:rPr>
              <w:t>功能测试</w:t>
            </w:r>
          </w:p>
        </w:tc>
      </w:tr>
      <w:tr w14:paraId="65552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" w:type="dxa"/>
            <w:noWrap w:val="0"/>
            <w:vAlign w:val="top"/>
          </w:tcPr>
          <w:p w14:paraId="31F582BC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等线"/>
                <w:szCs w:val="21"/>
                <w:lang w:val="en-US" w:eastAsia="zh-CN"/>
              </w:rPr>
            </w:pPr>
            <w:r>
              <w:rPr>
                <w:rFonts w:hint="eastAsia" w:ascii="宋体" w:hAnsi="宋体" w:cs="等线"/>
                <w:szCs w:val="21"/>
                <w:lang w:val="en-US" w:eastAsia="zh-CN"/>
              </w:rPr>
              <w:t>2</w:t>
            </w:r>
          </w:p>
        </w:tc>
        <w:tc>
          <w:tcPr>
            <w:tcW w:w="1906" w:type="dxa"/>
            <w:noWrap w:val="0"/>
            <w:vAlign w:val="top"/>
          </w:tcPr>
          <w:p w14:paraId="0804B161">
            <w:pPr>
              <w:keepNext w:val="0"/>
              <w:keepLines w:val="0"/>
              <w:pageBreakBefore w:val="0"/>
              <w:suppressLineNumbers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cs="等线"/>
                <w:szCs w:val="21"/>
              </w:rPr>
            </w:pPr>
            <w:r>
              <w:rPr>
                <w:rFonts w:hint="eastAsia" w:ascii="宋体" w:hAnsi="宋体" w:cs="等线"/>
                <w:szCs w:val="21"/>
              </w:rPr>
              <w:t>开发人员</w:t>
            </w:r>
          </w:p>
        </w:tc>
        <w:tc>
          <w:tcPr>
            <w:tcW w:w="4692" w:type="dxa"/>
            <w:noWrap w:val="0"/>
            <w:vAlign w:val="top"/>
          </w:tcPr>
          <w:p w14:paraId="7820F7A3">
            <w:pPr>
              <w:keepNext w:val="0"/>
              <w:keepLines w:val="0"/>
              <w:pageBreakBefore w:val="0"/>
              <w:suppressLineNumbers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等线"/>
                <w:szCs w:val="21"/>
              </w:rPr>
            </w:pPr>
            <w:r>
              <w:rPr>
                <w:rFonts w:hint="eastAsia" w:ascii="宋体" w:hAnsi="宋体" w:cs="等线"/>
                <w:szCs w:val="21"/>
              </w:rPr>
              <w:t>功能开发与修改</w:t>
            </w:r>
          </w:p>
        </w:tc>
      </w:tr>
    </w:tbl>
    <w:p w14:paraId="049E80BF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default"/>
          <w:lang w:val="en-US" w:eastAsia="zh-CN"/>
        </w:rPr>
      </w:pPr>
      <w:bookmarkStart w:id="36" w:name="_Toc29924"/>
      <w:bookmarkStart w:id="37" w:name="_Toc466416683"/>
      <w:r>
        <w:rPr>
          <w:rFonts w:hint="eastAsia"/>
          <w:lang w:val="en-US" w:eastAsia="zh-CN"/>
        </w:rPr>
        <w:t>参考文件及定义</w:t>
      </w:r>
      <w:bookmarkEnd w:id="36"/>
    </w:p>
    <w:p w14:paraId="6DE15B5E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《同飞智能不带阀物联网超声波水表-红外通讯协议文档-V1.2.doc》</w:t>
      </w:r>
    </w:p>
    <w:p w14:paraId="77B4778E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平台：指同飞智联科技水表云服务平台</w:t>
      </w:r>
    </w:p>
    <w:p w14:paraId="664D2702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</w:rPr>
      </w:pPr>
      <w:bookmarkStart w:id="38" w:name="_Toc2228"/>
      <w:bookmarkStart w:id="39" w:name="_Toc20531"/>
      <w:r>
        <w:rPr>
          <w:rFonts w:hint="eastAsia"/>
        </w:rPr>
        <w:t>概述</w:t>
      </w:r>
      <w:bookmarkEnd w:id="37"/>
      <w:bookmarkEnd w:id="38"/>
      <w:bookmarkEnd w:id="39"/>
    </w:p>
    <w:p w14:paraId="5149BEE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rPr>
          <w:rFonts w:hint="eastAsia" w:ascii="黑体" w:hAnsi="黑体" w:eastAsia="黑体" w:cs="Times New Roman"/>
          <w:b/>
          <w:bCs/>
          <w:kern w:val="44"/>
          <w:sz w:val="30"/>
          <w:szCs w:val="30"/>
          <w:lang w:val="en-US" w:eastAsia="zh-CN" w:bidi="ar-SA"/>
        </w:rPr>
      </w:pPr>
      <w:r>
        <w:rPr>
          <w:rFonts w:hint="eastAsia" w:ascii="宋体" w:hAnsi="宋体"/>
          <w:szCs w:val="24"/>
          <w:lang w:val="en-US" w:eastAsia="zh-CN"/>
        </w:rPr>
        <w:t>物联网超声波水表，是同飞自研的一款智能水表，采用超声计量技术，量程比可达R=500，超低功耗，锂电池供电，使用年限可达10年，采用NB-IOT窄带物联网通讯技术，可定时周期上传数据到业务系统，便于业务系统进行水量统计与分析。</w:t>
      </w:r>
    </w:p>
    <w:p w14:paraId="541D88F1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lang w:val="en-US" w:eastAsia="zh-CN"/>
        </w:rPr>
      </w:pPr>
      <w:bookmarkStart w:id="40" w:name="_Toc16549"/>
      <w:r>
        <w:rPr>
          <w:rFonts w:hint="eastAsia"/>
          <w:lang w:val="en-US" w:eastAsia="zh-CN"/>
        </w:rPr>
        <w:t>NB通讯测试</w:t>
      </w:r>
      <w:bookmarkEnd w:id="40"/>
    </w:p>
    <w:p w14:paraId="39BA891A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41" w:name="_Toc5920"/>
      <w:r>
        <w:rPr>
          <w:rFonts w:hint="eastAsia"/>
          <w:lang w:val="en-US" w:eastAsia="zh-CN"/>
        </w:rPr>
        <w:t>参考文档</w:t>
      </w:r>
      <w:bookmarkEnd w:id="41"/>
    </w:p>
    <w:p w14:paraId="7898CE5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rPr>
          <w:rFonts w:hint="eastAsia" w:ascii="宋体" w:hAnsi="宋体"/>
          <w:szCs w:val="24"/>
          <w:lang w:val="en-US" w:eastAsia="zh-CN"/>
        </w:rPr>
      </w:pPr>
      <w:r>
        <w:rPr>
          <w:rFonts w:hint="eastAsia" w:ascii="宋体" w:hAnsi="宋体"/>
          <w:szCs w:val="24"/>
          <w:lang w:val="en-US" w:eastAsia="zh-CN"/>
        </w:rPr>
        <w:t>《同飞智能不带阀物联网超声波水表NB-IOT通讯协议文档-V1.6.pdf》</w:t>
      </w:r>
    </w:p>
    <w:p w14:paraId="4DE0B00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rPr>
          <w:rFonts w:hint="default" w:ascii="宋体" w:hAnsi="宋体"/>
          <w:szCs w:val="24"/>
          <w:lang w:val="en-US" w:eastAsia="zh-CN"/>
        </w:rPr>
      </w:pPr>
      <w:r>
        <w:rPr>
          <w:rFonts w:hint="eastAsia" w:ascii="宋体" w:hAnsi="宋体"/>
          <w:szCs w:val="24"/>
          <w:lang w:val="en-US" w:eastAsia="zh-CN"/>
        </w:rPr>
        <w:t>平台：同飞智联水表云平台</w:t>
      </w:r>
    </w:p>
    <w:p w14:paraId="7346D3B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rPr>
          <w:rFonts w:hint="default"/>
          <w:lang w:val="en-US" w:eastAsia="zh-CN"/>
        </w:rPr>
      </w:pPr>
      <w:r>
        <w:rPr>
          <w:rFonts w:hint="eastAsia" w:ascii="宋体" w:hAnsi="宋体"/>
          <w:szCs w:val="24"/>
          <w:lang w:val="en-US" w:eastAsia="zh-CN"/>
        </w:rPr>
        <w:t>红外工具：指同飞红外工具-V1.0.exe</w:t>
      </w:r>
    </w:p>
    <w:p w14:paraId="6100985F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42" w:name="_Toc20327"/>
      <w:r>
        <w:rPr>
          <w:rFonts w:hint="eastAsia"/>
          <w:lang w:val="en-US" w:eastAsia="zh-CN"/>
        </w:rPr>
        <w:t>数据上报</w:t>
      </w:r>
      <w:bookmarkEnd w:id="42"/>
    </w:p>
    <w:p w14:paraId="2394D151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测试数据上报之前，先完成设置表端IP和端口,(测试时，研发提供的IP和端口已经设置好了，无需再设置。</w:t>
      </w:r>
    </w:p>
    <w:p w14:paraId="3B5D888E">
      <w:pPr>
        <w:rPr>
          <w:rFonts w:hint="eastAsia"/>
          <w:highlight w:val="yellow"/>
          <w:lang w:val="en-US" w:eastAsia="zh-CN"/>
        </w:rPr>
      </w:pPr>
    </w:p>
    <w:p w14:paraId="7C2DBDAD">
      <w:pPr>
        <w:rPr>
          <w:rFonts w:hint="default"/>
          <w:highlight w:val="yellow"/>
          <w:lang w:val="en-US" w:eastAsia="zh-CN"/>
        </w:rPr>
      </w:pPr>
    </w:p>
    <w:p w14:paraId="7A7D5112">
      <w:pPr>
        <w:pStyle w:val="4"/>
        <w:bidi w:val="0"/>
        <w:rPr>
          <w:rFonts w:hint="eastAsia"/>
          <w:lang w:val="en-US" w:eastAsia="zh-CN"/>
        </w:rPr>
      </w:pPr>
      <w:bookmarkStart w:id="43" w:name="_Toc6620"/>
      <w:r>
        <w:rPr>
          <w:rFonts w:hint="eastAsia"/>
          <w:lang w:val="en-US" w:eastAsia="zh-CN"/>
        </w:rPr>
        <w:t>手动触发上报</w:t>
      </w:r>
      <w:bookmarkEnd w:id="43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2DE24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80F2F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35318F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手动触发上报</w:t>
            </w:r>
          </w:p>
        </w:tc>
      </w:tr>
      <w:tr w14:paraId="3872A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C35DD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576F58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水表模块、直流电源、小磁铁</w:t>
            </w:r>
          </w:p>
        </w:tc>
      </w:tr>
      <w:tr w14:paraId="50EDA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C778E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1CD810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/>
                <w:szCs w:val="24"/>
                <w:lang w:val="en-US" w:eastAsia="zh-CN"/>
              </w:rPr>
              <w:t>同飞智联水表云平台</w:t>
            </w:r>
            <w:r>
              <w:rPr>
                <w:rFonts w:hint="eastAsia"/>
                <w:lang w:val="en-US" w:eastAsia="zh-CN"/>
              </w:rPr>
              <w:t>（下面简称“平台”）</w:t>
            </w:r>
          </w:p>
        </w:tc>
      </w:tr>
      <w:tr w14:paraId="28356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9E6F6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453F0F6A">
            <w:pPr>
              <w:keepNext w:val="0"/>
              <w:keepLines w:val="0"/>
              <w:numPr>
                <w:ilvl w:val="0"/>
                <w:numId w:val="4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将直流电源电压调整为3.6V，并给水表模块供电</w:t>
            </w:r>
          </w:p>
          <w:p w14:paraId="3BD3CEF7">
            <w:pPr>
              <w:keepNext w:val="0"/>
              <w:keepLines w:val="0"/>
              <w:numPr>
                <w:ilvl w:val="0"/>
                <w:numId w:val="4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使用小磁铁触发（液晶屏右下角触发5秒），水表模块进行主动上传一次数据</w:t>
            </w:r>
          </w:p>
          <w:p w14:paraId="60CB1CFC">
            <w:pPr>
              <w:keepNext w:val="0"/>
              <w:keepLines w:val="0"/>
              <w:numPr>
                <w:ilvl w:val="0"/>
                <w:numId w:val="4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观察“平台”-数据读取查询-设备上报数据中，查看是否收到了表端上传的数据，并且“触发上报方式”为“手动上报”，并且附加信息中，月结两条、日结5条，24条时结数据。</w:t>
            </w:r>
          </w:p>
        </w:tc>
      </w:tr>
      <w:tr w14:paraId="380C5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DA693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7AE29D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表端主动上传数据中“触发上报方式”为“手动”触发</w:t>
            </w:r>
          </w:p>
        </w:tc>
      </w:tr>
      <w:tr w14:paraId="4FFE9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B2DF4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09D4A0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</w:p>
        </w:tc>
      </w:tr>
      <w:tr w14:paraId="02BAD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E64F1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22CD0F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</w:p>
        </w:tc>
      </w:tr>
    </w:tbl>
    <w:p w14:paraId="799BDE7E">
      <w:pPr>
        <w:pStyle w:val="4"/>
        <w:bidi w:val="0"/>
        <w:rPr>
          <w:rFonts w:hint="default"/>
          <w:lang w:val="en-US" w:eastAsia="zh-CN"/>
        </w:rPr>
      </w:pPr>
      <w:bookmarkStart w:id="44" w:name="_Toc11596"/>
      <w:r>
        <w:rPr>
          <w:rFonts w:hint="eastAsia"/>
          <w:lang w:val="en-US" w:eastAsia="zh-CN"/>
        </w:rPr>
        <w:t>定时上报</w:t>
      </w:r>
      <w:bookmarkEnd w:id="44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32477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7D9D4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4B475B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定时上报</w:t>
            </w:r>
          </w:p>
        </w:tc>
      </w:tr>
      <w:tr w14:paraId="0B484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F0CAE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52BFC7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水表模块、直流电源、小磁铁、红外串口</w:t>
            </w:r>
          </w:p>
        </w:tc>
      </w:tr>
      <w:tr w14:paraId="0CE48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DEAD8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61F6FA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02EB7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F11EE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355519EB">
            <w:pPr>
              <w:keepNext w:val="0"/>
              <w:keepLines w:val="0"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将直流电源电压调整为3.6V，并给水表模块供电</w:t>
            </w:r>
          </w:p>
          <w:p w14:paraId="14DCC0AC">
            <w:pPr>
              <w:keepNext w:val="0"/>
              <w:keepLines w:val="0"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5B8747D6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2.1在菜单“设置定时上报周期”进行设置，“基准时间”设为“00:00:00”，“间隔时间”设为“1440”,mid输入识别码（数字）</w:t>
            </w:r>
          </w:p>
          <w:p w14:paraId="3FE28DD2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2.2“设备管理”中根据IMEI选择水表模块，在发送指令中选择对应mid的“定时上报周期”，单击发送指令按钮。</w:t>
            </w:r>
          </w:p>
          <w:p w14:paraId="3AD76DEC">
            <w:pPr>
              <w:keepNext w:val="0"/>
              <w:keepLines w:val="0"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使用小磁铁触发（液晶屏右下角触发5秒），水表模块进行主动上传一次数据（指令）。</w:t>
            </w:r>
          </w:p>
          <w:p w14:paraId="18E00C77">
            <w:pPr>
              <w:keepNext w:val="0"/>
              <w:keepLines w:val="0"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观察“平台”-数据读取查询-设备上报数据中，查看数据是否送达，</w:t>
            </w:r>
            <w:r>
              <w:rPr>
                <w:rFonts w:hint="eastAsia"/>
                <w:vertAlign w:val="baseline"/>
                <w:lang w:val="en-US" w:eastAsia="zh-CN"/>
              </w:rPr>
              <w:t>观察上报数据字段中，“基准时间”是否为“00:00:00”，“间隔时间”是否为“1440”</w:t>
            </w:r>
          </w:p>
          <w:p w14:paraId="5135CBBB">
            <w:pPr>
              <w:keepNext w:val="0"/>
              <w:keepLines w:val="0"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通过“红外工具”，设置表端时间为“23:59:30”，等待30秒钟，观察表端是否主动上传数据</w:t>
            </w:r>
          </w:p>
          <w:p w14:paraId="591F46EF">
            <w:pPr>
              <w:keepNext w:val="0"/>
              <w:keepLines w:val="0"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观察“平台”-数据读取查询-设备上报数据，并且“触发上报方式”为“定时上报”，并且附加信息中，月结两条、日结5条，24条时结数据。</w:t>
            </w:r>
          </w:p>
        </w:tc>
      </w:tr>
      <w:tr w14:paraId="6B2A7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554DA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312FB9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表端主动上传数据，</w:t>
            </w:r>
            <w:r>
              <w:rPr>
                <w:rFonts w:hint="eastAsia"/>
                <w:lang w:val="en-US" w:eastAsia="zh-CN"/>
              </w:rPr>
              <w:t>观察“平台”-数据读取查询-设备上报数据</w:t>
            </w:r>
          </w:p>
        </w:tc>
      </w:tr>
      <w:tr w14:paraId="31DF1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724E2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41F432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403D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71D5E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0B9C09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22864D58">
      <w:pPr>
        <w:bidi w:val="0"/>
        <w:rPr>
          <w:rFonts w:hint="eastAsia"/>
          <w:lang w:val="en-US" w:eastAsia="zh-CN"/>
        </w:rPr>
      </w:pPr>
    </w:p>
    <w:p w14:paraId="4731BD24">
      <w:pPr>
        <w:bidi w:val="0"/>
        <w:rPr>
          <w:rFonts w:hint="default"/>
          <w:highlight w:val="none"/>
          <w:lang w:val="en-US" w:eastAsia="zh-CN"/>
        </w:rPr>
      </w:pPr>
    </w:p>
    <w:p w14:paraId="39275058">
      <w:pPr>
        <w:pStyle w:val="4"/>
        <w:bidi w:val="0"/>
        <w:rPr>
          <w:rFonts w:hint="default"/>
          <w:highlight w:val="none"/>
          <w:lang w:val="en-US" w:eastAsia="zh-CN"/>
        </w:rPr>
      </w:pPr>
      <w:bookmarkStart w:id="45" w:name="_Toc29826"/>
      <w:r>
        <w:rPr>
          <w:rFonts w:hint="eastAsia"/>
          <w:highlight w:val="none"/>
          <w:lang w:val="en-US" w:eastAsia="zh-CN"/>
        </w:rPr>
        <w:t>1小时补报</w:t>
      </w:r>
      <w:bookmarkEnd w:id="45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08B31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07" w:type="dxa"/>
          </w:tcPr>
          <w:p w14:paraId="1CE7EB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368B95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 xml:space="preserve">1 </w:t>
            </w:r>
            <w:r>
              <w:rPr>
                <w:rFonts w:hint="eastAsia" w:ascii="HYShuSongErKW" w:hAnsi="HYShuSongErKW" w:eastAsia="HYShuSongErKW" w:cs="HYShuSongErKW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小时补报</w:t>
            </w:r>
          </w:p>
        </w:tc>
      </w:tr>
      <w:tr w14:paraId="5AFCB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C80FD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35A0C9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水表模块、直流电源、小磁铁、红外串口</w:t>
            </w:r>
          </w:p>
        </w:tc>
      </w:tr>
      <w:tr w14:paraId="3C53E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5F0E7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2CD3E5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平台、红外工具</w:t>
            </w:r>
          </w:p>
        </w:tc>
      </w:tr>
      <w:tr w14:paraId="056E9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6B6C1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0BCC559F">
            <w:pPr>
              <w:keepNext w:val="0"/>
              <w:keepLines w:val="0"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将直流电源电压调整为3.6V，并给水表模块供电</w:t>
            </w:r>
          </w:p>
          <w:p w14:paraId="317160A3">
            <w:pPr>
              <w:keepNext w:val="0"/>
              <w:keepLines w:val="0"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在“平台”中进入如下操作：</w:t>
            </w:r>
          </w:p>
          <w:p w14:paraId="5C27A953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2.1在菜单“设置定时上报周期”进行设置，“基准时间”设为“00:00:00”，“间隔时间”设为“1440”,mid输入识别码</w:t>
            </w:r>
          </w:p>
          <w:p w14:paraId="48779D7C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2.2“设备管理”中根据IMEI选择水表模块，在发送指令中选择“设置表端上报周期时间”，单击发送指令按钮。</w:t>
            </w:r>
          </w:p>
          <w:p w14:paraId="09F93135">
            <w:pPr>
              <w:keepNext w:val="0"/>
              <w:keepLines w:val="0"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使用小磁铁触发（液晶屏右下角触发5秒），水表模块进行主动上传一次数据</w:t>
            </w:r>
          </w:p>
          <w:p w14:paraId="7AF65E20">
            <w:pPr>
              <w:keepNext w:val="0"/>
              <w:keepLines w:val="0"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观察“平台”-数据读取查询-设备上报数据中，查看数据是否送达，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观察上报数据字段中，“基准时间”是否为“00:00:00”，“间隔时间”是否为“1440”</w:t>
            </w:r>
          </w:p>
          <w:p w14:paraId="44861318">
            <w:pPr>
              <w:keepNext w:val="0"/>
              <w:keepLines w:val="0"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通过“红外工具”，设置表端时间为“23:59:00”，等待60秒钟,同时开启信号干扰器，放置5分钟后，关闭信号干扰器后。</w:t>
            </w:r>
          </w:p>
          <w:p w14:paraId="71829A0B">
            <w:pPr>
              <w:keepNext w:val="0"/>
              <w:keepLines w:val="0"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通过“红外工具”，设置表端时间为“00:59:00”，等待60秒钟，观察表端是否主动上传数据，并且上报触发方式为1小时补报。</w:t>
            </w:r>
          </w:p>
        </w:tc>
      </w:tr>
      <w:tr w14:paraId="2CE37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6D111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19C902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表端主动上传数据，</w:t>
            </w:r>
            <w:r>
              <w:rPr>
                <w:rFonts w:hint="eastAsia"/>
                <w:highlight w:val="none"/>
                <w:lang w:val="en-US" w:eastAsia="zh-CN"/>
              </w:rPr>
              <w:t>观察“平台”-数据读取查询-设备上报数据</w:t>
            </w:r>
          </w:p>
        </w:tc>
      </w:tr>
      <w:tr w14:paraId="7D972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B9944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370B95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</w:p>
        </w:tc>
      </w:tr>
      <w:tr w14:paraId="61E2A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AE3B2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44FF35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50524DFB">
      <w:pPr>
        <w:pStyle w:val="4"/>
        <w:bidi w:val="0"/>
        <w:rPr>
          <w:rFonts w:hint="default"/>
          <w:lang w:val="en-US" w:eastAsia="zh-CN"/>
        </w:rPr>
      </w:pPr>
      <w:bookmarkStart w:id="46" w:name="_Toc19580"/>
      <w:r>
        <w:rPr>
          <w:rFonts w:hint="eastAsia"/>
          <w:lang w:val="en-US" w:eastAsia="zh-CN"/>
        </w:rPr>
        <w:t>结算日上报</w:t>
      </w:r>
      <w:bookmarkEnd w:id="46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3D899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359FB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79FA05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结算日上报</w:t>
            </w:r>
          </w:p>
        </w:tc>
      </w:tr>
      <w:tr w14:paraId="12A66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509BC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3E560A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水表模块、直流电源、小磁铁、红外串口</w:t>
            </w:r>
          </w:p>
        </w:tc>
      </w:tr>
      <w:tr w14:paraId="4D2AB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B225F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3A9B45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62AD5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D834E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7EA4CE36">
            <w:pPr>
              <w:keepNext w:val="0"/>
              <w:keepLines w:val="0"/>
              <w:numPr>
                <w:ilvl w:val="0"/>
                <w:numId w:val="7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将直流电源电压调整为3.6V，并给水表模块供电</w:t>
            </w:r>
          </w:p>
          <w:p w14:paraId="21AC51F4">
            <w:pPr>
              <w:keepNext w:val="0"/>
              <w:keepLines w:val="0"/>
              <w:numPr>
                <w:ilvl w:val="0"/>
                <w:numId w:val="7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74B1868E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2.1在菜单“设置表端结算日”进行设置，“结算日”设为“31”，,mid输入识别码（数字）</w:t>
            </w:r>
          </w:p>
          <w:p w14:paraId="4CF2CC2F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2.2“设备管理”中根据IMEI选择水表模块，在发送指令中选择对应mid的“设置表端结算日”，单击发送指令按钮。</w:t>
            </w:r>
          </w:p>
          <w:p w14:paraId="720D5B13">
            <w:pPr>
              <w:keepNext w:val="0"/>
              <w:keepLines w:val="0"/>
              <w:numPr>
                <w:ilvl w:val="0"/>
                <w:numId w:val="7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使用小磁铁触发（液晶屏右下角触发5秒），水表模块进行主动上传一次数据</w:t>
            </w:r>
          </w:p>
          <w:p w14:paraId="20FF45C4">
            <w:pPr>
              <w:keepNext w:val="0"/>
              <w:keepLines w:val="0"/>
              <w:numPr>
                <w:ilvl w:val="0"/>
                <w:numId w:val="7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观察“平台”-数据读取查询-设备上报数据中，查看数据是否送达，</w:t>
            </w:r>
            <w:r>
              <w:rPr>
                <w:rFonts w:hint="eastAsia"/>
                <w:vertAlign w:val="baseline"/>
                <w:lang w:val="en-US" w:eastAsia="zh-CN"/>
              </w:rPr>
              <w:t>观察上报数据字段中，“结算日”是否为“31”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（当月如果是28天，系统还是显示31，但程序会计算在28日，上报时间为定义结算日的基准时间上报。故为了取完整的月结数据，所以结算日设置为1，在新的一月的第一天的凌晨就完整上报上月的数据）。</w:t>
            </w:r>
          </w:p>
          <w:p w14:paraId="5DD5E921">
            <w:pPr>
              <w:keepNext w:val="0"/>
              <w:keepLines w:val="0"/>
              <w:numPr>
                <w:ilvl w:val="0"/>
                <w:numId w:val="7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通过“红外工具”，设置表端时间为结算日前一天的“23:59:30”，等待30秒钟，观察表端是否主动上传数据</w:t>
            </w:r>
          </w:p>
        </w:tc>
      </w:tr>
      <w:tr w14:paraId="59141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56BA5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41DF8F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表端主动上传数据，</w:t>
            </w:r>
            <w:r>
              <w:rPr>
                <w:rFonts w:hint="eastAsia"/>
                <w:lang w:val="en-US" w:eastAsia="zh-CN"/>
              </w:rPr>
              <w:t>观察“平台”-数据读取查询-设备上报数据数据是否上报</w:t>
            </w:r>
          </w:p>
        </w:tc>
      </w:tr>
      <w:tr w14:paraId="40A0A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FD996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453C76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3FA6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2014C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5AB90A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7B44FCD4">
      <w:pPr>
        <w:pStyle w:val="4"/>
        <w:bidi w:val="0"/>
        <w:rPr>
          <w:rFonts w:hint="default"/>
          <w:lang w:val="en-US" w:eastAsia="zh-CN"/>
        </w:rPr>
      </w:pPr>
      <w:bookmarkStart w:id="47" w:name="_Toc25901"/>
      <w:r>
        <w:rPr>
          <w:rFonts w:hint="eastAsia"/>
          <w:lang w:val="en-US" w:eastAsia="zh-CN"/>
        </w:rPr>
        <w:t>异常上报</w:t>
      </w:r>
      <w:bookmarkEnd w:id="47"/>
    </w:p>
    <w:p w14:paraId="048A93C1">
      <w:pPr>
        <w:bidi w:val="0"/>
        <w:rPr>
          <w:rFonts w:hint="default"/>
          <w:lang w:val="en-US" w:eastAsia="zh-CN"/>
        </w:rPr>
      </w:pPr>
    </w:p>
    <w:p w14:paraId="49EFA303">
      <w:pPr>
        <w:pStyle w:val="5"/>
        <w:bidi w:val="0"/>
        <w:ind w:left="864" w:leftChars="0" w:hanging="864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传感器异常  无法测试</w:t>
      </w:r>
    </w:p>
    <w:p w14:paraId="10782095">
      <w:pPr>
        <w:pStyle w:val="5"/>
        <w:bidi w:val="0"/>
        <w:ind w:left="864" w:leftChars="0" w:hanging="864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逆向告警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44A79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A47E9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645D65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逆向告警</w:t>
            </w:r>
          </w:p>
        </w:tc>
      </w:tr>
      <w:tr w14:paraId="4FD2D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42900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7C93BF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水表、直流电源、小磁铁、红外串口、校表台</w:t>
            </w:r>
          </w:p>
        </w:tc>
      </w:tr>
      <w:tr w14:paraId="09CFF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87871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7A2F2D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15198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07" w:type="dxa"/>
          </w:tcPr>
          <w:p w14:paraId="0A8143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6984DF07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逆向告警</w:t>
            </w:r>
          </w:p>
          <w:p w14:paraId="471AEB74">
            <w:pPr>
              <w:keepNext w:val="0"/>
              <w:keepLines w:val="0"/>
              <w:numPr>
                <w:ilvl w:val="0"/>
                <w:numId w:val="8"/>
              </w:numPr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将表安装在校表上进行模拟，故意安装水流反反向，通水后，水流发生逆向流动；</w:t>
            </w:r>
          </w:p>
          <w:p w14:paraId="675A1F1B">
            <w:pPr>
              <w:keepNext w:val="0"/>
              <w:keepLines w:val="0"/>
              <w:numPr>
                <w:ilvl w:val="0"/>
                <w:numId w:val="8"/>
              </w:numPr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观察“平台”-数据读取查询-设备上报数据中，查看数据是否送达，观察上报数据字段中，“上报触发方式”是否为“异常上报”</w:t>
            </w:r>
            <w:r>
              <w:rPr>
                <w:rFonts w:hint="eastAsia"/>
                <w:highlight w:val="none"/>
                <w:lang w:val="en-US" w:eastAsia="zh-CN"/>
              </w:rPr>
              <w:t>（平台没有区分具体异常内容，修改平台完善）</w:t>
            </w:r>
          </w:p>
        </w:tc>
      </w:tr>
      <w:tr w14:paraId="09306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9B65C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7B8293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114E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7D12D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3C20E7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9E61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BF5E2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1F5E1C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14854D09">
      <w:pPr>
        <w:pStyle w:val="6"/>
        <w:rPr>
          <w:rFonts w:hint="default"/>
          <w:lang w:val="en-US" w:eastAsia="zh-CN"/>
        </w:rPr>
      </w:pPr>
    </w:p>
    <w:p w14:paraId="4DA029F2">
      <w:pPr>
        <w:pStyle w:val="5"/>
        <w:bidi w:val="0"/>
        <w:ind w:left="864" w:leftChars="0" w:hanging="864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电池低压告警 无法测试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59302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F3F0A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1F8EC0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手动触发上报</w:t>
            </w:r>
          </w:p>
        </w:tc>
      </w:tr>
      <w:tr w14:paraId="1C6E2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35C05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79B56D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水表模块、直流电源、小磁铁</w:t>
            </w:r>
          </w:p>
        </w:tc>
      </w:tr>
      <w:tr w14:paraId="6B6A6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C19FB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6BF10A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/>
                <w:szCs w:val="24"/>
                <w:lang w:val="en-US" w:eastAsia="zh-CN"/>
              </w:rPr>
              <w:t>同飞智联水表云平台</w:t>
            </w:r>
            <w:r>
              <w:rPr>
                <w:rFonts w:hint="eastAsia"/>
                <w:lang w:val="en-US" w:eastAsia="zh-CN"/>
              </w:rPr>
              <w:t>（下面简称“平台”）</w:t>
            </w:r>
          </w:p>
        </w:tc>
      </w:tr>
      <w:tr w14:paraId="63B6C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0052F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0A0B2FF9">
            <w:pPr>
              <w:keepNext w:val="0"/>
              <w:keepLines w:val="0"/>
              <w:numPr>
                <w:ilvl w:val="0"/>
                <w:numId w:val="9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将直流电源电压调整为2.8V，并给水表模块供电</w:t>
            </w:r>
          </w:p>
          <w:p w14:paraId="1AB49C40">
            <w:pPr>
              <w:keepNext w:val="0"/>
              <w:keepLines w:val="0"/>
              <w:numPr>
                <w:ilvl w:val="0"/>
                <w:numId w:val="9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使用小磁铁触发（液晶屏右下角触发5秒），水表模块进行主动上传一次数据</w:t>
            </w:r>
          </w:p>
          <w:p w14:paraId="0B01E655">
            <w:pPr>
              <w:keepNext w:val="0"/>
              <w:keepLines w:val="0"/>
              <w:numPr>
                <w:ilvl w:val="0"/>
                <w:numId w:val="9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观察“平台”-数据读取查询-设备上报数据中，查看是否收到了表端上传的数据，并且“触发上报方式”为“异常上报”，并且附加信息中，月结两条、日结5条，24条时结数据。</w:t>
            </w:r>
          </w:p>
        </w:tc>
      </w:tr>
      <w:tr w14:paraId="06C04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10FD9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563464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</w:p>
        </w:tc>
      </w:tr>
      <w:tr w14:paraId="57C41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5DC61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74A566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</w:p>
        </w:tc>
      </w:tr>
      <w:tr w14:paraId="2BF8A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1ADBF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5C7D94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</w:p>
        </w:tc>
      </w:tr>
    </w:tbl>
    <w:p w14:paraId="7270C894">
      <w:pPr>
        <w:pStyle w:val="6"/>
        <w:ind w:left="0" w:leftChars="0" w:firstLine="0" w:firstLineChars="0"/>
        <w:rPr>
          <w:rFonts w:hint="eastAsia"/>
          <w:lang w:val="en-US" w:eastAsia="zh-CN"/>
        </w:rPr>
      </w:pPr>
    </w:p>
    <w:p w14:paraId="56A0C5C3">
      <w:pPr>
        <w:pStyle w:val="5"/>
        <w:bidi w:val="0"/>
        <w:ind w:left="864" w:leftChars="0" w:hanging="864" w:firstLineChars="0"/>
        <w:rPr>
          <w:rFonts w:hint="default"/>
          <w:lang w:val="en-US" w:eastAsia="zh-CN"/>
        </w:rPr>
      </w:pPr>
      <w:r>
        <w:rPr>
          <w:rFonts w:hint="eastAsia" w:ascii="HYShuSongErKW" w:hAnsi="HYShuSongErKW" w:eastAsia="HYShuSongErKW" w:cs="HYShuSongErKW"/>
          <w:color w:val="000000"/>
          <w:kern w:val="0"/>
          <w:sz w:val="20"/>
          <w:szCs w:val="20"/>
          <w:lang w:val="en-US" w:eastAsia="zh-CN" w:bidi="ar"/>
        </w:rPr>
        <w:t xml:space="preserve">存储器异常 </w:t>
      </w:r>
      <w:r>
        <w:rPr>
          <w:rFonts w:hint="eastAsia"/>
          <w:lang w:val="en-US" w:eastAsia="zh-CN"/>
        </w:rPr>
        <w:t>无法测试</w:t>
      </w:r>
    </w:p>
    <w:p w14:paraId="6A3FC6AA">
      <w:pPr>
        <w:pStyle w:val="6"/>
        <w:rPr>
          <w:rFonts w:hint="eastAsia"/>
          <w:lang w:val="en-US" w:eastAsia="zh-CN"/>
        </w:rPr>
      </w:pPr>
    </w:p>
    <w:p w14:paraId="604F037D">
      <w:pPr>
        <w:pStyle w:val="5"/>
        <w:bidi w:val="0"/>
        <w:ind w:left="864" w:leftChars="0" w:hanging="864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空管异常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3CD37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58B00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5C3AFD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空管异常</w:t>
            </w:r>
          </w:p>
        </w:tc>
      </w:tr>
      <w:tr w14:paraId="44B20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A6289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2A6F8E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水表、直流电源、小磁铁、红外串口</w:t>
            </w:r>
          </w:p>
        </w:tc>
      </w:tr>
      <w:tr w14:paraId="7DB6D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0B953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7117AB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2F12D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107" w:type="dxa"/>
          </w:tcPr>
          <w:p w14:paraId="7B8BFB99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03111A7E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直接放置表，无需通水；</w:t>
            </w:r>
          </w:p>
          <w:p w14:paraId="26A4D4A7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观察“平台”-数据读取查询-设备上报数据中，查看数据是否送达，观察上报数据字段中，“上报触发方式”是否为“异常上报”</w:t>
            </w:r>
          </w:p>
        </w:tc>
      </w:tr>
      <w:tr w14:paraId="062F1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4114D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1782B8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9DF0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B01B5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47820A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AF82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B2C65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000CB3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69EEE292">
      <w:pPr>
        <w:pStyle w:val="6"/>
        <w:rPr>
          <w:rFonts w:hint="default"/>
          <w:lang w:val="en-US" w:eastAsia="zh-CN"/>
        </w:rPr>
      </w:pPr>
    </w:p>
    <w:p w14:paraId="67889C7F">
      <w:pPr>
        <w:pStyle w:val="5"/>
        <w:bidi w:val="0"/>
        <w:ind w:left="864" w:leftChars="0" w:hanging="864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大流量告警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5F0AB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CFA29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480B15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大流量告警（主要是针对表后爆管）</w:t>
            </w:r>
          </w:p>
        </w:tc>
      </w:tr>
      <w:tr w14:paraId="36D2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A3DEE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17DDD7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水表、直流电源、小磁铁、红外串口、校表台</w:t>
            </w:r>
          </w:p>
        </w:tc>
      </w:tr>
      <w:tr w14:paraId="141FF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17D1D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459413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30615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107" w:type="dxa"/>
          </w:tcPr>
          <w:p w14:paraId="6CF8A6C3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46123CB1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427D8FDB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.1在菜单“设置表端流量告警”进行设置，“大流量告警阀值(m³)”设为“10方”，大流量持续监测时间(min)设置为5分钟，,mid输入识别码（数字）（持续流量检测时间设置为0，渗漏及后面的均设置为0（表示不监测））</w:t>
            </w:r>
          </w:p>
          <w:p w14:paraId="2A7E14AA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1.2“设备管理”中根据IMEI选择水表模块，在发送指令中选择对应mid的“设置表端结算日”，单击发送指令按钮。</w:t>
            </w:r>
          </w:p>
          <w:p w14:paraId="302E00A1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2、使用小磁铁触发（液晶屏右下角触发5秒），水表模块进行主动上传一次数据</w:t>
            </w:r>
          </w:p>
          <w:p w14:paraId="11C70B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观察“平台”-数据读取查询-设备上报数据中，查看数据是否送达，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观察上报数据字段中，大流量以及持续时间是否设置正常</w:t>
            </w:r>
          </w:p>
          <w:p w14:paraId="139E10DB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将表安装在校表上，设置流量大于平台设置的流量时，观察平台是否报警</w:t>
            </w:r>
          </w:p>
        </w:tc>
      </w:tr>
      <w:tr w14:paraId="28D30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9368B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185867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6687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CB6E0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116844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9241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8457E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678EE6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1A01488B">
      <w:pPr>
        <w:pStyle w:val="5"/>
        <w:bidi w:val="0"/>
        <w:ind w:left="864" w:leftChars="0" w:hanging="864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持续流量监测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79915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CFC37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1303A3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持续流量监测</w:t>
            </w:r>
            <w:r>
              <w:rPr>
                <w:rFonts w:hint="eastAsia"/>
                <w:vertAlign w:val="baseline"/>
                <w:lang w:val="en-US" w:eastAsia="zh-CN"/>
              </w:rPr>
              <w:t>（主要是针对用户表一直在跑，没有关阀的情况，流量范围是程序在计算，一般时间设置的比较长）</w:t>
            </w:r>
          </w:p>
        </w:tc>
      </w:tr>
      <w:tr w14:paraId="43DD5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CD86D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424C26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水表、直流电源、小磁铁、红外串口、校表台</w:t>
            </w:r>
          </w:p>
        </w:tc>
      </w:tr>
      <w:tr w14:paraId="40702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6C131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2265D0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3C74B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107" w:type="dxa"/>
          </w:tcPr>
          <w:p w14:paraId="4D12431E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026E82D3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5E704A35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.1在菜单“设置表端流量告警”进行设置，续流量检测时间设置为5分钟，,mid输入识别码（数字）（“大流量告警阀值(m³)”设为“10方”，大流量持续监测时间(min)设置为5分钟，渗漏及后面的均设置为0（表示不监测））</w:t>
            </w:r>
          </w:p>
          <w:p w14:paraId="3592F874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1.2“设备管理”中根据IMEI选择水表模块，在发送指令中选择对应mid的“设置表端结算日”，单击发送指令按钮。</w:t>
            </w:r>
          </w:p>
          <w:p w14:paraId="0B8BCCB2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2、使用小磁铁触发（液晶屏右下角触发5秒），水表模块进行主动上传一次数据</w:t>
            </w:r>
          </w:p>
          <w:p w14:paraId="0FAB78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观察“平台”-数据读取查询-设备上报数据中，查看数据是否送达，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观察上报数据字段中，大流量以及持续时间是否设置正常</w:t>
            </w:r>
          </w:p>
          <w:p w14:paraId="37866DA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3、将表安装在校表上，持续跑流量，观察平台是否报警</w:t>
            </w:r>
          </w:p>
        </w:tc>
      </w:tr>
      <w:tr w14:paraId="0DAA2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E00BE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3236A8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4702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6039C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0CE656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DB7A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A2DC3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3F5B9A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5BAC75E6">
      <w:pPr>
        <w:pStyle w:val="6"/>
        <w:rPr>
          <w:rFonts w:hint="default"/>
          <w:lang w:val="en-US" w:eastAsia="zh-CN"/>
        </w:rPr>
      </w:pPr>
    </w:p>
    <w:p w14:paraId="070D5847">
      <w:pPr>
        <w:pStyle w:val="5"/>
        <w:bidi w:val="0"/>
        <w:ind w:left="864" w:leftChars="0" w:hanging="864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渗漏流量监测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693AB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B680D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615297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渗漏流量监测</w:t>
            </w:r>
            <w:r>
              <w:rPr>
                <w:rFonts w:hint="eastAsia"/>
                <w:vertAlign w:val="baseline"/>
                <w:lang w:val="en-US" w:eastAsia="zh-CN"/>
              </w:rPr>
              <w:t>（主要是针对用户表一直在跑，流量范围很小，一般时间设置的比较长）</w:t>
            </w:r>
          </w:p>
        </w:tc>
      </w:tr>
      <w:tr w14:paraId="78219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7A72B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7875FD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水表、直流电源、小磁铁、红外串口、校表台</w:t>
            </w:r>
          </w:p>
        </w:tc>
      </w:tr>
      <w:tr w14:paraId="77F46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9A7C1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70635E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7B956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107" w:type="dxa"/>
          </w:tcPr>
          <w:p w14:paraId="09EB3934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08574673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745A9452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.1在菜单“设置表端流量告警”进行设置，</w:t>
            </w:r>
            <w:r>
              <w:rPr>
                <w:rFonts w:hint="eastAsia"/>
                <w:lang w:val="en-US" w:eastAsia="zh-CN"/>
              </w:rPr>
              <w:t>渗漏流量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检测时间设置为5分钟，</w:t>
            </w:r>
            <w:r>
              <w:rPr>
                <w:rFonts w:hint="eastAsia"/>
                <w:lang w:val="en-US" w:eastAsia="zh-CN"/>
              </w:rPr>
              <w:t>渗漏流量阈值设置比较小，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,mid输入识别码（数字）（“大流量告警阀值(m³)”设为“10方”，大流量持续监测时间(min)设置为5分钟，）</w:t>
            </w:r>
          </w:p>
          <w:p w14:paraId="22EAF6AF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1.2“设备管理”中根据IMEI选择水表模块，在发送指令中选择对应mid的“设置表端结算日”，单击发送指令按钮。</w:t>
            </w:r>
          </w:p>
          <w:p w14:paraId="2F1CD3C7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2、使用小磁铁触发（液晶屏右下角触发5秒），水表模块进行主动上传一次数据</w:t>
            </w:r>
          </w:p>
          <w:p w14:paraId="41730A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观察“平台”-数据读取查询-设备上报数据中，查看数据是否送达，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观察上报数据字段中，大流量以及持续时间是否设置正常</w:t>
            </w:r>
          </w:p>
          <w:p w14:paraId="771194C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3、将表安装在校表上，设置流量小于平台设置的流量时，观察平台是否报警</w:t>
            </w:r>
          </w:p>
        </w:tc>
      </w:tr>
      <w:tr w14:paraId="0558C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6D7EF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72BE41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2717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4E3D5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63580B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10EC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368C7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38E16D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0EDCBE37">
      <w:pPr>
        <w:pStyle w:val="6"/>
        <w:rPr>
          <w:rFonts w:hint="default"/>
          <w:lang w:val="en-US" w:eastAsia="zh-CN"/>
        </w:rPr>
      </w:pPr>
    </w:p>
    <w:p w14:paraId="219E41BD">
      <w:pPr>
        <w:pStyle w:val="5"/>
        <w:bidi w:val="0"/>
        <w:ind w:left="864" w:leftChars="0" w:hanging="864" w:firstLineChars="0"/>
        <w:rPr>
          <w:rFonts w:hint="default" w:ascii="等线" w:hAnsi="等线" w:eastAsia="宋体" w:cs="Times New Roman"/>
          <w:b w:val="0"/>
          <w:bCs w:val="0"/>
          <w:kern w:val="2"/>
          <w:sz w:val="21"/>
          <w:szCs w:val="22"/>
          <w:vertAlign w:val="baseline"/>
          <w:lang w:val="en-US" w:eastAsia="zh-CN" w:bidi="ar-SA"/>
        </w:rPr>
      </w:pPr>
      <w:r>
        <w:rPr>
          <w:rFonts w:hint="eastAsia" w:ascii="HYShuSongErKW" w:hAnsi="HYShuSongErKW" w:eastAsia="HYShuSongErKW" w:cs="HYShuSongErKW"/>
          <w:color w:val="000000"/>
          <w:kern w:val="0"/>
          <w:sz w:val="20"/>
          <w:szCs w:val="20"/>
          <w:lang w:val="en-US" w:eastAsia="zh-CN" w:bidi="ar"/>
        </w:rPr>
        <w:t>高压力告警（</w:t>
      </w:r>
      <w:r>
        <w:rPr>
          <w:rFonts w:hint="eastAsia"/>
          <w:lang w:val="en-US" w:eastAsia="zh-CN"/>
        </w:rPr>
        <w:t>无法测试</w:t>
      </w:r>
      <w:r>
        <w:rPr>
          <w:rFonts w:hint="eastAsia" w:ascii="HYShuSongErKW" w:hAnsi="HYShuSongErKW" w:eastAsia="HYShuSongErKW" w:cs="HYShuSongErKW"/>
          <w:color w:val="000000"/>
          <w:kern w:val="0"/>
          <w:sz w:val="20"/>
          <w:szCs w:val="20"/>
          <w:lang w:val="en-US" w:eastAsia="zh-CN" w:bidi="ar"/>
        </w:rPr>
        <w:t>）</w:t>
      </w:r>
      <w:r>
        <w:rPr>
          <w:rFonts w:hint="eastAsia" w:ascii="等线" w:hAnsi="等线" w:eastAsia="宋体" w:cs="Times New Roman"/>
          <w:b w:val="0"/>
          <w:bCs w:val="0"/>
          <w:kern w:val="2"/>
          <w:sz w:val="21"/>
          <w:szCs w:val="22"/>
          <w:vertAlign w:val="baseline"/>
          <w:lang w:val="en-US" w:eastAsia="zh-CN" w:bidi="ar-SA"/>
        </w:rPr>
        <w:t>（</w:t>
      </w:r>
      <w:r>
        <w:rPr>
          <w:rFonts w:hint="eastAsia" w:ascii="等线" w:hAnsi="等线" w:cs="Times New Roman"/>
          <w:b w:val="0"/>
          <w:bCs w:val="0"/>
          <w:kern w:val="2"/>
          <w:sz w:val="21"/>
          <w:szCs w:val="22"/>
          <w:vertAlign w:val="baseline"/>
          <w:lang w:val="en-US" w:eastAsia="zh-CN" w:bidi="ar-SA"/>
        </w:rPr>
        <w:t>代码模拟</w:t>
      </w:r>
      <w:r>
        <w:rPr>
          <w:rFonts w:hint="eastAsia" w:ascii="等线" w:hAnsi="等线" w:eastAsia="宋体" w:cs="Times New Roman"/>
          <w:b w:val="0"/>
          <w:bCs w:val="0"/>
          <w:kern w:val="2"/>
          <w:sz w:val="21"/>
          <w:szCs w:val="22"/>
          <w:vertAlign w:val="baseline"/>
          <w:lang w:val="en-US" w:eastAsia="zh-CN" w:bidi="ar-SA"/>
        </w:rPr>
        <w:t>）</w:t>
      </w:r>
    </w:p>
    <w:p w14:paraId="39E080EC">
      <w:pPr>
        <w:pStyle w:val="5"/>
        <w:bidi w:val="0"/>
        <w:ind w:left="864" w:leftChars="0" w:hanging="864" w:firstLineChars="0"/>
        <w:rPr>
          <w:rFonts w:hint="default"/>
          <w:lang w:val="en-US" w:eastAsia="zh-CN"/>
        </w:rPr>
      </w:pPr>
      <w:r>
        <w:rPr>
          <w:rFonts w:hint="eastAsia" w:ascii="HYShuSongErKW" w:hAnsi="HYShuSongErKW" w:eastAsia="HYShuSongErKW" w:cs="HYShuSongErKW"/>
          <w:color w:val="000000"/>
          <w:kern w:val="0"/>
          <w:sz w:val="20"/>
          <w:szCs w:val="20"/>
          <w:lang w:val="en-US" w:eastAsia="zh-CN" w:bidi="ar"/>
        </w:rPr>
        <w:t>低压力告警（</w:t>
      </w:r>
      <w:r>
        <w:rPr>
          <w:rFonts w:hint="eastAsia"/>
          <w:lang w:val="en-US" w:eastAsia="zh-CN"/>
        </w:rPr>
        <w:t>无法测试）</w:t>
      </w:r>
    </w:p>
    <w:p w14:paraId="6C344F34">
      <w:pPr>
        <w:pStyle w:val="5"/>
        <w:bidi w:val="0"/>
        <w:ind w:left="864" w:leftChars="0" w:hanging="864" w:firstLineChars="0"/>
        <w:rPr>
          <w:rFonts w:hint="default"/>
          <w:lang w:val="en-US" w:eastAsia="zh-CN"/>
        </w:rPr>
      </w:pPr>
      <w:r>
        <w:rPr>
          <w:rFonts w:hint="eastAsia" w:ascii="HYShuSongErKW" w:hAnsi="HYShuSongErKW" w:eastAsia="HYShuSongErKW" w:cs="HYShuSongErKW"/>
          <w:color w:val="000000"/>
          <w:kern w:val="0"/>
          <w:sz w:val="20"/>
          <w:szCs w:val="20"/>
          <w:lang w:val="en-US" w:eastAsia="zh-CN" w:bidi="ar"/>
        </w:rPr>
        <w:t xml:space="preserve">渗漏异常告警 </w:t>
      </w:r>
      <w:r>
        <w:rPr>
          <w:rFonts w:hint="eastAsia"/>
          <w:lang w:val="en-US" w:eastAsia="zh-CN"/>
        </w:rPr>
        <w:t>无法测试）</w:t>
      </w:r>
    </w:p>
    <w:p w14:paraId="6EFB3982">
      <w:pPr>
        <w:pStyle w:val="6"/>
        <w:rPr>
          <w:rFonts w:hint="default"/>
          <w:lang w:val="en-US" w:eastAsia="zh-CN"/>
        </w:rPr>
      </w:pPr>
    </w:p>
    <w:p w14:paraId="63616FD8">
      <w:pPr>
        <w:pStyle w:val="5"/>
        <w:bidi w:val="0"/>
        <w:ind w:left="864" w:leftChars="0" w:hanging="864" w:firstLineChars="0"/>
        <w:rPr>
          <w:rFonts w:hint="default"/>
          <w:lang w:val="en-US" w:eastAsia="zh-CN"/>
        </w:rPr>
      </w:pPr>
      <w:r>
        <w:rPr>
          <w:rFonts w:hint="eastAsia" w:ascii="HYShuSongErKW" w:hAnsi="HYShuSongErKW" w:eastAsia="HYShuSongErKW" w:cs="HYShuSongErKW"/>
          <w:color w:val="000000"/>
          <w:kern w:val="0"/>
          <w:sz w:val="20"/>
          <w:szCs w:val="20"/>
          <w:lang w:val="en-US" w:eastAsia="zh-CN" w:bidi="ar"/>
        </w:rPr>
        <w:t>高水温异常告警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452E5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210D2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076BDD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HYShuSongErKW" w:hAnsi="HYShuSongErKW" w:eastAsia="HYShuSongErKW" w:cs="HYShuSongErKW"/>
                <w:color w:val="000000"/>
                <w:kern w:val="0"/>
                <w:sz w:val="20"/>
                <w:szCs w:val="20"/>
                <w:lang w:val="en-US" w:eastAsia="zh-CN" w:bidi="ar"/>
              </w:rPr>
              <w:t>高水温异常告警</w:t>
            </w:r>
          </w:p>
        </w:tc>
      </w:tr>
      <w:tr w14:paraId="58BC6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FDA6D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60214D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水表、直流电源、小磁铁、红外串口、校表台</w:t>
            </w:r>
          </w:p>
        </w:tc>
      </w:tr>
      <w:tr w14:paraId="7DA31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D12E9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49FABC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23DCA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107" w:type="dxa"/>
          </w:tcPr>
          <w:p w14:paraId="7BBE2427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74B2540E">
            <w:pPr>
              <w:keepNext w:val="0"/>
              <w:keepLines w:val="0"/>
              <w:pageBreakBefore w:val="0"/>
              <w:numPr>
                <w:ilvl w:val="0"/>
                <w:numId w:val="1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1CF1676F">
            <w:pPr>
              <w:keepNext w:val="0"/>
              <w:keepLines w:val="0"/>
              <w:pageBreakBefore w:val="0"/>
              <w:numPr>
                <w:ilvl w:val="1"/>
                <w:numId w:val="1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在菜单“设置表端温度告警”进行设置，“高温报警阈值(℃)”设为“1”，低温设置为0，</w:t>
            </w:r>
          </w:p>
          <w:p w14:paraId="14FB4FC7">
            <w:pPr>
              <w:keepNext w:val="0"/>
              <w:keepLines w:val="0"/>
              <w:pageBreakBefore w:val="0"/>
              <w:numPr>
                <w:ilvl w:val="1"/>
                <w:numId w:val="1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“设备管理”中根据IMEI选择水表模块，在发送指令中选择对应mid的“命令，单击发送指令按钮。</w:t>
            </w:r>
          </w:p>
          <w:p w14:paraId="73E82F91">
            <w:pPr>
              <w:keepNext w:val="0"/>
              <w:keepLines w:val="0"/>
              <w:pageBreakBefore w:val="0"/>
              <w:numPr>
                <w:ilvl w:val="0"/>
                <w:numId w:val="1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使用小磁铁触发（液晶屏右下角触发5秒），水表模块进行主动上传一次数据</w:t>
            </w:r>
          </w:p>
          <w:p w14:paraId="7AAD6017">
            <w:pPr>
              <w:keepNext w:val="0"/>
              <w:keepLines w:val="0"/>
              <w:pageBreakBefore w:val="0"/>
              <w:numPr>
                <w:ilvl w:val="0"/>
                <w:numId w:val="1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把表放置水中10分钟</w:t>
            </w:r>
          </w:p>
          <w:p w14:paraId="7E7F733F">
            <w:pPr>
              <w:keepNext w:val="0"/>
              <w:keepLines w:val="0"/>
              <w:pageBreakBefore w:val="0"/>
              <w:widowControl/>
              <w:numPr>
                <w:ilvl w:val="0"/>
                <w:numId w:val="1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观察“平台”-数据读取查询-设备上报数据中，查看数据是否送达，将表安装在校表台上，当水温大于1时，观察平台是否报警。</w:t>
            </w:r>
          </w:p>
          <w:p w14:paraId="3E49C5C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C2D9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DC606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2E171C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B0AB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1D48D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45EB0F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ACE8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A42C9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4F6259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6D894199">
      <w:pPr>
        <w:pStyle w:val="6"/>
        <w:rPr>
          <w:rFonts w:hint="default"/>
          <w:lang w:val="en-US" w:eastAsia="zh-CN"/>
        </w:rPr>
      </w:pPr>
    </w:p>
    <w:p w14:paraId="755FDCF2">
      <w:pPr>
        <w:pStyle w:val="5"/>
        <w:bidi w:val="0"/>
        <w:ind w:left="864" w:leftChars="0" w:hanging="864" w:firstLineChars="0"/>
        <w:rPr>
          <w:rFonts w:hint="default"/>
          <w:lang w:val="en-US" w:eastAsia="zh-CN"/>
        </w:rPr>
      </w:pPr>
      <w:r>
        <w:rPr>
          <w:rFonts w:hint="eastAsia" w:ascii="HYShuSongErKW" w:hAnsi="HYShuSongErKW" w:eastAsia="HYShuSongErKW" w:cs="HYShuSongErKW"/>
          <w:color w:val="000000"/>
          <w:kern w:val="0"/>
          <w:sz w:val="20"/>
          <w:szCs w:val="20"/>
          <w:lang w:val="en-US" w:eastAsia="zh-CN" w:bidi="ar"/>
        </w:rPr>
        <w:t>低水温异常告警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718AA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F877A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2AEA14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低水温异常告警</w:t>
            </w:r>
          </w:p>
        </w:tc>
      </w:tr>
      <w:tr w14:paraId="42101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CDFCD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175285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水表、直流电源、小磁铁、红外串口、校表台</w:t>
            </w:r>
          </w:p>
        </w:tc>
      </w:tr>
      <w:tr w14:paraId="6B6C6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E596D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28DD21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45F68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107" w:type="dxa"/>
          </w:tcPr>
          <w:p w14:paraId="4378558F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05CE3BA3">
            <w:pPr>
              <w:keepNext w:val="0"/>
              <w:keepLines w:val="0"/>
              <w:pageBreakBefore w:val="0"/>
              <w:numPr>
                <w:ilvl w:val="0"/>
                <w:numId w:val="1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1976F69F">
            <w:pPr>
              <w:keepNext w:val="0"/>
              <w:keepLines w:val="0"/>
              <w:pageBreakBefore w:val="0"/>
              <w:numPr>
                <w:ilvl w:val="1"/>
                <w:numId w:val="1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在菜单“设置表端温度告警”进行设置，“高温报警阈值(℃)”设为“30”，低温设置为25，</w:t>
            </w:r>
          </w:p>
          <w:p w14:paraId="65E9D348">
            <w:pPr>
              <w:keepNext w:val="0"/>
              <w:keepLines w:val="0"/>
              <w:pageBreakBefore w:val="0"/>
              <w:numPr>
                <w:ilvl w:val="1"/>
                <w:numId w:val="1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“设备管理”中根据IMEI选择水表模块，在发送指令中选择对应mid的“命令，单击发送指令按钮。</w:t>
            </w:r>
          </w:p>
          <w:p w14:paraId="4219AD69">
            <w:pPr>
              <w:keepNext w:val="0"/>
              <w:keepLines w:val="0"/>
              <w:pageBreakBefore w:val="0"/>
              <w:numPr>
                <w:ilvl w:val="0"/>
                <w:numId w:val="1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使用小磁铁触发（液晶屏右下角触发5秒），水表模块进行主动上传一次数据</w:t>
            </w:r>
          </w:p>
          <w:p w14:paraId="7A972624">
            <w:pPr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观察“平台”-数据读取查询-设备上报数据中，查看数据是否送达，将表安装在校表台上，当水温低于于25时，观察平台是否报警。</w:t>
            </w:r>
          </w:p>
        </w:tc>
      </w:tr>
      <w:tr w14:paraId="050BC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4FCE9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69E836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CBAF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A34DA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3CD34A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8AE5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3F472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214A35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371CAACF">
      <w:pPr>
        <w:pStyle w:val="6"/>
        <w:rPr>
          <w:rFonts w:hint="default"/>
          <w:lang w:val="en-US" w:eastAsia="zh-CN"/>
        </w:rPr>
      </w:pPr>
    </w:p>
    <w:p w14:paraId="295348A3">
      <w:pPr>
        <w:pStyle w:val="5"/>
        <w:bidi w:val="0"/>
        <w:ind w:left="864" w:leftChars="0" w:hanging="864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DMA专属上报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32661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CAE97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6FCE16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DMA专属上报</w:t>
            </w:r>
          </w:p>
        </w:tc>
      </w:tr>
      <w:tr w14:paraId="64451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C87AD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6F1392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水表模块、直流电源、小磁铁、红外串口、校表台</w:t>
            </w:r>
          </w:p>
        </w:tc>
      </w:tr>
      <w:tr w14:paraId="3CACA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F70FF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1D7F66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042F1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99B49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7C5079D7">
            <w:pPr>
              <w:keepNext w:val="0"/>
              <w:keepLines w:val="0"/>
              <w:pageBreakBefore w:val="0"/>
              <w:numPr>
                <w:ilvl w:val="0"/>
                <w:numId w:val="1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46562378">
            <w:pPr>
              <w:keepNext w:val="0"/>
              <w:keepLines w:val="0"/>
              <w:pageBreakBefore w:val="0"/>
              <w:numPr>
                <w:ilvl w:val="1"/>
                <w:numId w:val="1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在菜单“设置DMA定时上报周期”进行设置，“DMA上报开始时间”依据测试时间设定、DMA上报结束时间设置为开始时间后10分钟，DMA上报间隔时间设置为2分钟</w:t>
            </w:r>
          </w:p>
          <w:p w14:paraId="7B955405">
            <w:pPr>
              <w:keepNext w:val="0"/>
              <w:keepLines w:val="0"/>
              <w:pageBreakBefore w:val="0"/>
              <w:numPr>
                <w:ilvl w:val="1"/>
                <w:numId w:val="1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“设备管理”中根据IMEI选择水表模块，在发送指令中选择对应mid的“命令，单击发送指令按钮。</w:t>
            </w:r>
          </w:p>
          <w:p w14:paraId="4A72A82D">
            <w:pPr>
              <w:keepNext w:val="0"/>
              <w:keepLines w:val="0"/>
              <w:pageBreakBefore w:val="0"/>
              <w:numPr>
                <w:ilvl w:val="0"/>
                <w:numId w:val="1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使用小磁铁触发（液晶屏右下角触发5秒），水表模块进行主动上传一次数据</w:t>
            </w:r>
          </w:p>
          <w:p w14:paraId="0D1A407D">
            <w:pPr>
              <w:keepNext w:val="0"/>
              <w:keepLines w:val="0"/>
              <w:pageBreakBefore w:val="0"/>
              <w:widowControl/>
              <w:numPr>
                <w:ilvl w:val="0"/>
                <w:numId w:val="1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观察“平台”-数据读取查询-设备上报数据中，查看设置数据是否送达。</w:t>
            </w:r>
          </w:p>
          <w:p w14:paraId="2663EBE3">
            <w:pPr>
              <w:keepNext w:val="0"/>
              <w:keepLines w:val="0"/>
              <w:pageBreakBefore w:val="0"/>
              <w:widowControl/>
              <w:numPr>
                <w:ilvl w:val="0"/>
                <w:numId w:val="1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红外工具设置时间接近DMA定时上报开始时间</w:t>
            </w:r>
          </w:p>
          <w:p w14:paraId="24A584E9">
            <w:pPr>
              <w:keepNext w:val="0"/>
              <w:keepLines w:val="0"/>
              <w:pageBreakBefore w:val="0"/>
              <w:widowControl/>
              <w:numPr>
                <w:ilvl w:val="0"/>
                <w:numId w:val="1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将表安装在校表台上，持续跑流量，当到达设置的起止时间后，查看平台是否有5条DMA上报数据，上报方式为DMA上报。</w:t>
            </w:r>
          </w:p>
          <w:p w14:paraId="7B524F88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629D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12F69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2EC1BF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5A63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910C4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308B98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CC67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263C6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2F6109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076768E2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48" w:name="_Toc31986"/>
      <w:r>
        <w:rPr>
          <w:rFonts w:hint="eastAsia"/>
          <w:lang w:val="en-US" w:eastAsia="zh-CN"/>
        </w:rPr>
        <w:t xml:space="preserve">设置表端 </w:t>
      </w:r>
      <w:r>
        <w:rPr>
          <w:rFonts w:hint="default"/>
          <w:lang w:val="en-US" w:eastAsia="zh-CN"/>
        </w:rPr>
        <w:t>IP 和端口</w:t>
      </w:r>
      <w:bookmarkEnd w:id="48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0B613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C87B0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2C850B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设置表端IP和端口</w:t>
            </w:r>
          </w:p>
        </w:tc>
      </w:tr>
      <w:tr w14:paraId="7D723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46DD9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63F696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7D636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3C08D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261A5A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2A64E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CD523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54EF8822">
            <w:pPr>
              <w:keepNext w:val="0"/>
              <w:keepLines w:val="0"/>
              <w:pageBreakBefore w:val="0"/>
              <w:numPr>
                <w:ilvl w:val="0"/>
                <w:numId w:val="1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7D4E134A">
            <w:pPr>
              <w:keepNext w:val="0"/>
              <w:keepLines w:val="0"/>
              <w:pageBreakBefore w:val="0"/>
              <w:numPr>
                <w:ilvl w:val="1"/>
                <w:numId w:val="18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在菜单“设置表端IP和端口命令”进行设置，“主/从服务器IP”为“221.229.214.202”，“主/从服务器端口”为：5683，输入mid序号。</w:t>
            </w:r>
          </w:p>
          <w:p w14:paraId="2DDB18AD">
            <w:pPr>
              <w:keepNext w:val="0"/>
              <w:keepLines w:val="0"/>
              <w:pageBreakBefore w:val="0"/>
              <w:numPr>
                <w:ilvl w:val="1"/>
                <w:numId w:val="18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“设备管理”中根据IMEI选择水表模块，在发送指令中选择对应mid的“命令，单击发送指令按钮。</w:t>
            </w:r>
          </w:p>
          <w:p w14:paraId="500DD314">
            <w:pPr>
              <w:keepNext w:val="0"/>
              <w:keepLines w:val="0"/>
              <w:pageBreakBefore w:val="0"/>
              <w:numPr>
                <w:ilvl w:val="0"/>
                <w:numId w:val="1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使用小磁铁触发（液晶屏右下角触发5秒），水表模块进行主动上传一次数据</w:t>
            </w:r>
          </w:p>
          <w:p w14:paraId="40B9A98C">
            <w:pPr>
              <w:keepNext w:val="0"/>
              <w:keepLines w:val="0"/>
              <w:pageBreakBefore w:val="0"/>
              <w:widowControl/>
              <w:numPr>
                <w:ilvl w:val="0"/>
                <w:numId w:val="1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观察“平台”-数据读取查询-设备上报数据中，查看设置数据是否正常。</w:t>
            </w:r>
          </w:p>
          <w:p w14:paraId="1107B05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left"/>
              <w:textAlignment w:val="auto"/>
              <w:rPr>
                <w:rFonts w:hint="eastAsia"/>
                <w:lang w:val="en-US" w:eastAsia="zh-CN"/>
              </w:rPr>
            </w:pPr>
          </w:p>
          <w:p w14:paraId="1343B529">
            <w:pPr>
              <w:keepNext w:val="0"/>
              <w:keepLines w:val="0"/>
              <w:pageBreakBefore w:val="0"/>
              <w:widowControl/>
              <w:numPr>
                <w:ilvl w:val="0"/>
                <w:numId w:val="1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红外工具 点击读表状态，查看IP地址与端口是否发生改变；</w:t>
            </w:r>
          </w:p>
          <w:p w14:paraId="0D8FF049">
            <w:pPr>
              <w:keepNext w:val="0"/>
              <w:keepLines w:val="0"/>
              <w:pageBreakBefore w:val="0"/>
              <w:widowControl/>
              <w:numPr>
                <w:ilvl w:val="0"/>
                <w:numId w:val="1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再次用红外工具设置IP和端口重新设置回原有IP地址和端口。</w:t>
            </w:r>
          </w:p>
        </w:tc>
      </w:tr>
      <w:tr w14:paraId="310B8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F17BC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2490FE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4681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B4BBB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2B61C0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A0BB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4D24A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52A0DB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74F0D54A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49" w:name="_Toc1290"/>
      <w:r>
        <w:rPr>
          <w:rFonts w:hint="eastAsia"/>
          <w:lang w:val="en-US" w:eastAsia="zh-CN"/>
        </w:rPr>
        <w:t>设置表端底读</w:t>
      </w:r>
      <w:bookmarkEnd w:id="49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2752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07" w:type="dxa"/>
          </w:tcPr>
          <w:p w14:paraId="2477BE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5A0726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设置表端IP和端口</w:t>
            </w:r>
          </w:p>
        </w:tc>
      </w:tr>
      <w:tr w14:paraId="6F08B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AD320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703538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590D9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D3935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02818C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54D68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4C2A7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5F199E3A">
            <w:pPr>
              <w:keepNext w:val="0"/>
              <w:keepLines w:val="0"/>
              <w:pageBreakBefore w:val="0"/>
              <w:numPr>
                <w:ilvl w:val="0"/>
                <w:numId w:val="1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627CAA06">
            <w:pPr>
              <w:keepNext w:val="0"/>
              <w:keepLines w:val="0"/>
              <w:pageBreakBefore w:val="0"/>
              <w:numPr>
                <w:ilvl w:val="1"/>
                <w:numId w:val="2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在菜单“设置表端底数读取”进行设置，“累计正向总水量 (m³)”为“100”，“累计反向总水量 (m³)”为：5，输入mid序号。</w:t>
            </w:r>
          </w:p>
          <w:p w14:paraId="3DB9A33E">
            <w:pPr>
              <w:keepNext w:val="0"/>
              <w:keepLines w:val="0"/>
              <w:pageBreakBefore w:val="0"/>
              <w:numPr>
                <w:ilvl w:val="1"/>
                <w:numId w:val="2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“设备管理”中根据IMEI选择水表模块，在发送指令中选择对应mid的“命令，单击发送指令按钮。</w:t>
            </w:r>
          </w:p>
          <w:p w14:paraId="7AE26E6A">
            <w:pPr>
              <w:keepNext w:val="0"/>
              <w:keepLines w:val="0"/>
              <w:pageBreakBefore w:val="0"/>
              <w:numPr>
                <w:ilvl w:val="0"/>
                <w:numId w:val="1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使用小磁铁触发（液晶屏右下角触发5秒），水表模块进行主动上传一次数据</w:t>
            </w:r>
          </w:p>
          <w:p w14:paraId="691FAAB3">
            <w:pPr>
              <w:keepNext w:val="0"/>
              <w:keepLines w:val="0"/>
              <w:pageBreakBefore w:val="0"/>
              <w:widowControl/>
              <w:numPr>
                <w:ilvl w:val="0"/>
                <w:numId w:val="1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观察“平台”-数据读取查询-设备上报数据中，查看设置数据是否正常。</w:t>
            </w:r>
          </w:p>
          <w:p w14:paraId="57E06AEA">
            <w:pPr>
              <w:keepNext w:val="0"/>
              <w:keepLines w:val="0"/>
              <w:pageBreakBefore w:val="0"/>
              <w:widowControl/>
              <w:numPr>
                <w:ilvl w:val="0"/>
                <w:numId w:val="1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通过液晶屏（外协只显示的净增，需要程序修改）或红外工具读表数据。</w:t>
            </w:r>
          </w:p>
        </w:tc>
      </w:tr>
      <w:tr w14:paraId="367C5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DDBBD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035488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9CC4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C81AE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26C5A2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7F6D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76ED9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1A7C0A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1414AA18">
      <w:pPr>
        <w:rPr>
          <w:rFonts w:hint="eastAsia"/>
          <w:lang w:val="en-US" w:eastAsia="zh-CN"/>
        </w:rPr>
      </w:pPr>
    </w:p>
    <w:p w14:paraId="10DFF71B">
      <w:pPr>
        <w:pStyle w:val="3"/>
        <w:numPr>
          <w:ilvl w:val="1"/>
          <w:numId w:val="3"/>
        </w:numPr>
        <w:bidi w:val="0"/>
        <w:rPr>
          <w:rFonts w:hint="eastAsia"/>
          <w:highlight w:val="none"/>
          <w:lang w:val="en-US" w:eastAsia="zh-CN"/>
        </w:rPr>
      </w:pPr>
      <w:bookmarkStart w:id="50" w:name="_Toc24509"/>
      <w:r>
        <w:rPr>
          <w:rFonts w:hint="eastAsia"/>
          <w:highlight w:val="none"/>
          <w:lang w:val="en-US" w:eastAsia="zh-CN"/>
        </w:rPr>
        <w:t>读月结数据</w:t>
      </w:r>
      <w:bookmarkEnd w:id="50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4C429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B9A97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4794FC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读月结数据</w:t>
            </w:r>
          </w:p>
        </w:tc>
      </w:tr>
      <w:tr w14:paraId="45E98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B82EE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4E0317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1468B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0C060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57599E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11255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26090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70F74059">
            <w:pPr>
              <w:keepNext w:val="0"/>
              <w:keepLines w:val="0"/>
              <w:pageBreakBefore w:val="0"/>
              <w:numPr>
                <w:ilvl w:val="0"/>
                <w:numId w:val="2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25366442">
            <w:pPr>
              <w:keepNext w:val="0"/>
              <w:keepLines w:val="0"/>
              <w:pageBreakBefore w:val="0"/>
              <w:numPr>
                <w:ilvl w:val="1"/>
                <w:numId w:val="2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在菜单“读取月结数据”进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行设置，“月数量”为“2”（参数没有作用，需要平台修改）</w:t>
            </w:r>
            <w:r>
              <w:rPr>
                <w:rFonts w:hint="eastAsia"/>
                <w:vertAlign w:val="baseline"/>
                <w:lang w:val="en-US" w:eastAsia="zh-CN"/>
              </w:rPr>
              <w:t>，输入mid序号。</w:t>
            </w:r>
          </w:p>
          <w:p w14:paraId="02A0CF14">
            <w:pPr>
              <w:keepNext w:val="0"/>
              <w:keepLines w:val="0"/>
              <w:pageBreakBefore w:val="0"/>
              <w:numPr>
                <w:ilvl w:val="1"/>
                <w:numId w:val="2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“设备管理”中根据IMEI选择水表模块，在发送指令中选择对应mid的“命令，单击发送指令按钮。</w:t>
            </w:r>
          </w:p>
          <w:p w14:paraId="1D6D91A1">
            <w:pPr>
              <w:keepNext w:val="0"/>
              <w:keepLines w:val="0"/>
              <w:pageBreakBefore w:val="0"/>
              <w:numPr>
                <w:ilvl w:val="0"/>
                <w:numId w:val="2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使用小磁铁触发（液晶屏右下角触发5秒），水表模块进行主动上传数据</w:t>
            </w:r>
          </w:p>
          <w:p w14:paraId="4810007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观察“平台”-数据读取查询-设备月数据中，查看数据是否正常上报。</w:t>
            </w:r>
          </w:p>
          <w:p w14:paraId="50600D5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3、暂时不用跑校表台，通过设置表底数，然后设置表端时间进行翻月，使其表记录以往的读数。（翻月，会不会发生月结上报？为了避免发生定时上报，校时，可以把定时上报设置为14：00）</w:t>
            </w:r>
          </w:p>
          <w:p w14:paraId="7EE6AEE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default"/>
                <w:lang w:val="en-US" w:eastAsia="zh-CN"/>
              </w:rPr>
            </w:pPr>
          </w:p>
        </w:tc>
      </w:tr>
      <w:tr w14:paraId="5743F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2D1BA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7DD269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44BC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4316B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612DF3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2862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F7E15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323C21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3070B78B">
      <w:pPr>
        <w:rPr>
          <w:rFonts w:hint="eastAsia"/>
          <w:lang w:val="en-US" w:eastAsia="zh-CN"/>
        </w:rPr>
      </w:pPr>
    </w:p>
    <w:p w14:paraId="3B1A8EBA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51" w:name="_Toc4895"/>
      <w:r>
        <w:rPr>
          <w:rFonts w:hint="eastAsia"/>
          <w:lang w:val="en-US" w:eastAsia="zh-CN"/>
        </w:rPr>
        <w:t>读日结数据</w:t>
      </w:r>
      <w:bookmarkEnd w:id="51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65CF3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1DC42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36CED4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读日结数据</w:t>
            </w:r>
          </w:p>
        </w:tc>
      </w:tr>
      <w:tr w14:paraId="73B50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25713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5C0100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0F8A9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99CA9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1B9822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7544D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AE73D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4CA93C85">
            <w:pPr>
              <w:keepNext w:val="0"/>
              <w:keepLines w:val="0"/>
              <w:pageBreakBefore w:val="0"/>
              <w:numPr>
                <w:ilvl w:val="0"/>
                <w:numId w:val="2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07D1C44B">
            <w:pPr>
              <w:keepNext w:val="0"/>
              <w:keepLines w:val="0"/>
              <w:pageBreakBefore w:val="0"/>
              <w:numPr>
                <w:ilvl w:val="1"/>
                <w:numId w:val="2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在菜单“读取日结数据”进行设置，设置“开始日期”和“结束日期”，输入mid序号。</w:t>
            </w:r>
          </w:p>
          <w:p w14:paraId="30F31836">
            <w:pPr>
              <w:keepNext w:val="0"/>
              <w:keepLines w:val="0"/>
              <w:pageBreakBefore w:val="0"/>
              <w:numPr>
                <w:ilvl w:val="1"/>
                <w:numId w:val="2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“设备管理”中根据IMEI选择水表模块，在发送指令中选择对应mid的“命令，单击发送指令按钮。</w:t>
            </w:r>
          </w:p>
          <w:p w14:paraId="70166526">
            <w:pPr>
              <w:keepNext w:val="0"/>
              <w:keepLines w:val="0"/>
              <w:pageBreakBefore w:val="0"/>
              <w:numPr>
                <w:ilvl w:val="0"/>
                <w:numId w:val="2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使用小磁铁触发（液晶屏右下角触发5秒），水表模块进行主动上传数据</w:t>
            </w:r>
          </w:p>
          <w:p w14:paraId="154EA08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观察“平台”-数据读取查询-设备日数据中，查看数据是否正常上报。</w:t>
            </w:r>
          </w:p>
          <w:p w14:paraId="4638BE6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跟月结一样，要模拟日数据；</w:t>
            </w:r>
          </w:p>
          <w:p w14:paraId="724CB3B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疑问点：读取里面设置起止日期，有没有作用，协议中是写的自动上传30个日的数据，目前是以开始日期为准，取该日期之前30天。</w:t>
            </w:r>
          </w:p>
        </w:tc>
      </w:tr>
      <w:tr w14:paraId="07828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8973B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0783F7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79AD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B5EBA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535DE9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83C7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1A87E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178C10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33FBE1BE">
      <w:pPr>
        <w:rPr>
          <w:rFonts w:hint="eastAsia"/>
          <w:lang w:val="en-US" w:eastAsia="zh-CN"/>
        </w:rPr>
      </w:pPr>
    </w:p>
    <w:p w14:paraId="2CE18E6D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52" w:name="_Toc6456"/>
      <w:r>
        <w:rPr>
          <w:rFonts w:hint="eastAsia"/>
          <w:lang w:val="en-US" w:eastAsia="zh-CN"/>
        </w:rPr>
        <w:t>读时结数据</w:t>
      </w:r>
      <w:bookmarkEnd w:id="52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02263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8981A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39FCA1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读时结数据</w:t>
            </w:r>
          </w:p>
        </w:tc>
      </w:tr>
      <w:tr w14:paraId="3105F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3B186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67236B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0CE80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9A362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52E538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21B3A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0D562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4C777837">
            <w:pPr>
              <w:keepNext w:val="0"/>
              <w:keepLines w:val="0"/>
              <w:pageBreakBefore w:val="0"/>
              <w:numPr>
                <w:ilvl w:val="0"/>
                <w:numId w:val="2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7B96A482">
            <w:pPr>
              <w:keepNext w:val="0"/>
              <w:keepLines w:val="0"/>
              <w:pageBreakBefore w:val="0"/>
              <w:numPr>
                <w:ilvl w:val="1"/>
                <w:numId w:val="2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在菜单“读取时结数据”进行设置，设置“开始日期”和“结束日期”设置成相同的日期，输入mid序号。</w:t>
            </w:r>
          </w:p>
          <w:p w14:paraId="1CD20A46">
            <w:pPr>
              <w:keepNext w:val="0"/>
              <w:keepLines w:val="0"/>
              <w:pageBreakBefore w:val="0"/>
              <w:numPr>
                <w:ilvl w:val="1"/>
                <w:numId w:val="2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“设备管理”中根据IMEI选择水表模块，在发送指令中选择对应mid的“命令，单击发送指令按钮。</w:t>
            </w:r>
          </w:p>
          <w:p w14:paraId="4A33199A">
            <w:pPr>
              <w:keepNext w:val="0"/>
              <w:keepLines w:val="0"/>
              <w:pageBreakBefore w:val="0"/>
              <w:numPr>
                <w:ilvl w:val="0"/>
                <w:numId w:val="2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使用小磁铁触发（液晶屏右下角触发5秒），水表模块进行主动上传数据</w:t>
            </w:r>
          </w:p>
          <w:p w14:paraId="5EDEEAA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观察“平台”-数据读取查询-设备24小时数据中，查看数据是否正常上报。</w:t>
            </w:r>
          </w:p>
          <w:p w14:paraId="343E10F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eastAsia"/>
                <w:lang w:val="en-US" w:eastAsia="zh-CN"/>
              </w:rPr>
            </w:pPr>
          </w:p>
          <w:p w14:paraId="7EE992C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模拟数据</w:t>
            </w:r>
          </w:p>
        </w:tc>
      </w:tr>
      <w:tr w14:paraId="64CD1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F0CAB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2F0500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18AF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B47A5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4AF6DD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936E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9DE7A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13C112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6C13C07F">
      <w:pPr>
        <w:rPr>
          <w:rFonts w:hint="eastAsia"/>
          <w:lang w:val="en-US" w:eastAsia="zh-CN"/>
        </w:rPr>
      </w:pPr>
    </w:p>
    <w:p w14:paraId="42586B9A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53" w:name="_Toc9760"/>
      <w:r>
        <w:rPr>
          <w:rFonts w:hint="eastAsia"/>
          <w:lang w:val="en-US" w:eastAsia="zh-CN"/>
        </w:rPr>
        <w:t>读5分钟密集数据</w:t>
      </w:r>
      <w:bookmarkEnd w:id="53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5E8B5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29BB1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350F96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读5分钟密集数据</w:t>
            </w:r>
          </w:p>
        </w:tc>
      </w:tr>
      <w:tr w14:paraId="05882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B5397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320477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5303B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A7949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687EF9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6AC95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98086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287E3DA0">
            <w:pPr>
              <w:keepNext w:val="0"/>
              <w:keepLines w:val="0"/>
              <w:pageBreakBefore w:val="0"/>
              <w:numPr>
                <w:ilvl w:val="0"/>
                <w:numId w:val="2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4E755612">
            <w:pPr>
              <w:keepNext w:val="0"/>
              <w:keepLines w:val="0"/>
              <w:pageBreakBefore w:val="0"/>
              <w:numPr>
                <w:ilvl w:val="1"/>
                <w:numId w:val="2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在菜单“读取5分钟密集数据”进行设置，设置“开始日期及时间”和“结束日期及时间”，输入mid序号。</w:t>
            </w:r>
          </w:p>
          <w:p w14:paraId="598F68F5">
            <w:pPr>
              <w:keepNext w:val="0"/>
              <w:keepLines w:val="0"/>
              <w:pageBreakBefore w:val="0"/>
              <w:numPr>
                <w:ilvl w:val="1"/>
                <w:numId w:val="2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“设备管理”中根据IMEI选择水表模块，在发送指令中选择对应mid的“命令，单击发送指令按钮。</w:t>
            </w:r>
          </w:p>
          <w:p w14:paraId="5D408527">
            <w:pPr>
              <w:keepNext w:val="0"/>
              <w:keepLines w:val="0"/>
              <w:pageBreakBefore w:val="0"/>
              <w:numPr>
                <w:ilvl w:val="0"/>
                <w:numId w:val="2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使用小磁铁触发（液晶屏右下角触发5秒），水表模块进行主动上传数据</w:t>
            </w:r>
          </w:p>
          <w:p w14:paraId="66CB8BE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观察“平台”-数据读取查询-设备5分钟密集数据中，查看数据是否正常上报。</w:t>
            </w:r>
          </w:p>
          <w:p w14:paraId="31D40A0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3、以开始时间为准,向后推2</w:t>
            </w:r>
            <w:bookmarkStart w:id="88" w:name="_GoBack"/>
            <w:bookmarkEnd w:id="88"/>
            <w:r>
              <w:rPr>
                <w:rFonts w:hint="eastAsia"/>
                <w:lang w:val="en-US" w:eastAsia="zh-CN"/>
              </w:rPr>
              <w:t>小时；</w:t>
            </w:r>
          </w:p>
          <w:p w14:paraId="508A075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疑问点：读取里面设置起止日期，有没有作用，协议中是写的表端只会保留最近 15 天 5 分钟密集数据，每次最多只能读取 2 小时的 5 分钟密集数</w:t>
            </w:r>
          </w:p>
          <w:p w14:paraId="58D9429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据。程序其实都是按照一问多答的方式进行回传数据，但平台采用的是一问一答的方式来取数据</w:t>
            </w:r>
          </w:p>
        </w:tc>
      </w:tr>
      <w:tr w14:paraId="3CB09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C5316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35CD16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7691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F24AB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68A801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902A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E6730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327C68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1F1C775A">
      <w:pPr>
        <w:rPr>
          <w:rFonts w:hint="eastAsia"/>
          <w:lang w:val="en-US" w:eastAsia="zh-CN"/>
        </w:rPr>
      </w:pPr>
    </w:p>
    <w:p w14:paraId="35DE65F2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54" w:name="_Toc25088"/>
      <w:r>
        <w:rPr>
          <w:rFonts w:hint="eastAsia"/>
          <w:lang w:val="en-US" w:eastAsia="zh-CN"/>
        </w:rPr>
        <w:t>读日志数据</w:t>
      </w:r>
      <w:bookmarkEnd w:id="54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09118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EFA53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79F6F6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读日志数据</w:t>
            </w:r>
          </w:p>
        </w:tc>
      </w:tr>
      <w:tr w14:paraId="19B36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9DBB6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30EAB3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0FB4E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6D668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4AD5F8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1FCDD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DC0DD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4F793D0D">
            <w:pPr>
              <w:keepNext w:val="0"/>
              <w:keepLines w:val="0"/>
              <w:pageBreakBefore w:val="0"/>
              <w:numPr>
                <w:ilvl w:val="0"/>
                <w:numId w:val="28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5E91B447">
            <w:pPr>
              <w:keepNext w:val="0"/>
              <w:keepLines w:val="0"/>
              <w:pageBreakBefore w:val="0"/>
              <w:numPr>
                <w:ilvl w:val="1"/>
                <w:numId w:val="2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在菜单“读取日志”进行设置，</w:t>
            </w: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读取日志数量（估计没有用）</w:t>
            </w:r>
            <w:r>
              <w:rPr>
                <w:rFonts w:hint="eastAsia"/>
                <w:vertAlign w:val="baseline"/>
                <w:lang w:val="en-US" w:eastAsia="zh-CN"/>
              </w:rPr>
              <w:t>，输入mid序号。</w:t>
            </w:r>
          </w:p>
          <w:p w14:paraId="76955768">
            <w:pPr>
              <w:keepNext w:val="0"/>
              <w:keepLines w:val="0"/>
              <w:pageBreakBefore w:val="0"/>
              <w:numPr>
                <w:ilvl w:val="1"/>
                <w:numId w:val="2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“设备管理”中根据IMEI选择水表模块，在发送指令中选择对应mid的“命令，单击发送指令按钮。</w:t>
            </w:r>
          </w:p>
          <w:p w14:paraId="1D123629">
            <w:pPr>
              <w:keepNext w:val="0"/>
              <w:keepLines w:val="0"/>
              <w:pageBreakBefore w:val="0"/>
              <w:numPr>
                <w:ilvl w:val="0"/>
                <w:numId w:val="28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使用小磁铁触发（液晶屏右下角触发5秒），水表模块进行主动上传数据</w:t>
            </w:r>
          </w:p>
          <w:p w14:paraId="173506B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观察“平台”-数据读取查询-设备日志数据中，查看数据是否正常上报。</w:t>
            </w:r>
          </w:p>
          <w:p w14:paraId="0124ED4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default"/>
                <w:lang w:val="en-US" w:eastAsia="zh-CN"/>
              </w:rPr>
            </w:pPr>
          </w:p>
        </w:tc>
      </w:tr>
      <w:tr w14:paraId="7E664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30C13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025DBE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3377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41DA8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183F53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659E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7F3CF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32E477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2BBEF719">
      <w:pPr>
        <w:rPr>
          <w:rFonts w:hint="eastAsia"/>
          <w:lang w:val="en-US" w:eastAsia="zh-CN"/>
        </w:rPr>
      </w:pPr>
    </w:p>
    <w:p w14:paraId="14DEC18B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55" w:name="_Toc1540"/>
      <w:r>
        <w:rPr>
          <w:rFonts w:hint="eastAsia"/>
          <w:lang w:val="en-US" w:eastAsia="zh-CN"/>
        </w:rPr>
        <w:t>表端断网</w:t>
      </w:r>
      <w:bookmarkEnd w:id="55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7E1C3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1E79E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78551D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表端断网</w:t>
            </w:r>
          </w:p>
        </w:tc>
      </w:tr>
      <w:tr w14:paraId="07176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11064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7AD662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280BA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B3146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03998C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13412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0CB34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72FBE86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平台无此功能，平台每次执行完指令后，会主动发送该指令，无需测试；</w:t>
            </w:r>
          </w:p>
        </w:tc>
      </w:tr>
      <w:tr w14:paraId="5DB1B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5BE76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2DFF5E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CE26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23E96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18AF8F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2AD8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56292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3ADF87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7818B46A">
      <w:pPr>
        <w:rPr>
          <w:rFonts w:hint="eastAsia"/>
          <w:lang w:val="en-US" w:eastAsia="zh-CN"/>
        </w:rPr>
      </w:pPr>
    </w:p>
    <w:p w14:paraId="1C3AE796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56" w:name="_Toc21692"/>
      <w:r>
        <w:rPr>
          <w:rFonts w:hint="eastAsia"/>
          <w:lang w:val="en-US" w:eastAsia="zh-CN"/>
        </w:rPr>
        <w:t>设置设备升级</w:t>
      </w:r>
      <w:bookmarkEnd w:id="56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3CAE0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BE4E3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2BAAD5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设置设备升级</w:t>
            </w:r>
          </w:p>
        </w:tc>
      </w:tr>
      <w:tr w14:paraId="50A7C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8832D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528B5E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156A4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00A89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710AF5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07EC3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67086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65E8CDBA">
            <w:pPr>
              <w:keepNext w:val="0"/>
              <w:keepLines w:val="0"/>
              <w:pageBreakBefore w:val="0"/>
              <w:numPr>
                <w:ilvl w:val="0"/>
                <w:numId w:val="3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3BC13EC8">
            <w:pPr>
              <w:keepNext w:val="0"/>
              <w:keepLines w:val="0"/>
              <w:pageBreakBefore w:val="0"/>
              <w:numPr>
                <w:ilvl w:val="1"/>
                <w:numId w:val="3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在菜单“设置升级设备”进行设置，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当前版本后输入V1.1.1.1（模组待确认，需要研发提供），目标版本输入（需要研发提供），包大小，单击选择文件，选择研发给到.bin文件。</w:t>
            </w:r>
          </w:p>
          <w:p w14:paraId="10D6E70B">
            <w:pPr>
              <w:keepNext w:val="0"/>
              <w:keepLines w:val="0"/>
              <w:pageBreakBefore w:val="0"/>
              <w:numPr>
                <w:ilvl w:val="1"/>
                <w:numId w:val="3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“设备管理”中根据IMEI选择水表模块，在发送指令中选择对应mid的“命令，单击发送指令按钮。</w:t>
            </w:r>
          </w:p>
          <w:p w14:paraId="79B0312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2、程序是否升级，以及是否升级成功，平台没有查看的渠道，需要在表端用磁铁看版本号，读液晶屏或红外工具。读表参数。</w:t>
            </w:r>
          </w:p>
          <w:p w14:paraId="542373D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drawing>
                <wp:inline distT="0" distB="0" distL="114300" distR="114300">
                  <wp:extent cx="1876425" cy="1095375"/>
                  <wp:effectExtent l="0" t="0" r="3175" b="952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4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0B44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5E56A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617709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9DDF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0BFA5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301CAF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2688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F7081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6AE172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4ECA8A60">
      <w:pPr>
        <w:rPr>
          <w:rFonts w:hint="eastAsia"/>
          <w:lang w:val="en-US" w:eastAsia="zh-CN"/>
        </w:rPr>
      </w:pPr>
    </w:p>
    <w:p w14:paraId="5B718FBD">
      <w:pPr>
        <w:rPr>
          <w:rFonts w:hint="eastAsia"/>
          <w:lang w:val="en-US" w:eastAsia="zh-CN"/>
        </w:rPr>
      </w:pPr>
    </w:p>
    <w:p w14:paraId="107451D5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lang w:val="en-US" w:eastAsia="zh-CN"/>
        </w:rPr>
      </w:pPr>
      <w:bookmarkStart w:id="57" w:name="_Toc13119"/>
      <w:r>
        <w:rPr>
          <w:rFonts w:hint="eastAsia"/>
          <w:lang w:val="en-US" w:eastAsia="zh-CN"/>
        </w:rPr>
        <w:t>红外通讯测试</w:t>
      </w:r>
      <w:bookmarkEnd w:id="57"/>
    </w:p>
    <w:p w14:paraId="7C16E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进行测试前，均需要进行进行通讯连接，物理线连接串口后，设置相应参数波特率2400、8位数据位、1位停止位、偶校验（EVEN），（工具默认已设置）打开红外通讯测试需要利用同飞红外工具-V1.0.exe进行配置。打开相应串口，单击“打开串口”</w:t>
      </w:r>
    </w:p>
    <w:p w14:paraId="47C39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default"/>
          <w:lang w:val="en-US" w:eastAsia="zh-CN"/>
        </w:rPr>
      </w:pPr>
      <w:r>
        <w:drawing>
          <wp:inline distT="0" distB="0" distL="114300" distR="114300">
            <wp:extent cx="5262245" cy="3566160"/>
            <wp:effectExtent l="0" t="0" r="8255" b="254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356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ECF2A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58" w:name="_Toc1767"/>
      <w:r>
        <w:rPr>
          <w:rFonts w:hint="eastAsia"/>
          <w:lang w:val="en-US" w:eastAsia="zh-CN"/>
        </w:rPr>
        <w:t>设置表地址</w:t>
      </w:r>
      <w:bookmarkEnd w:id="58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77257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D9811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693D24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设置表地址</w:t>
            </w:r>
          </w:p>
        </w:tc>
      </w:tr>
      <w:tr w14:paraId="09987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C6D53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7F87B2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65059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1E58B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741657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</w:t>
            </w:r>
          </w:p>
        </w:tc>
      </w:tr>
      <w:tr w14:paraId="20871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AD4A0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20C5745A">
            <w:pPr>
              <w:keepNext w:val="0"/>
              <w:keepLines w:val="0"/>
              <w:pageBreakBefore w:val="0"/>
              <w:widowControl/>
              <w:numPr>
                <w:ilvl w:val="0"/>
                <w:numId w:val="3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打开红外工具，选择新天tab，找到读取/设置表地址栏</w:t>
            </w:r>
          </w:p>
          <w:p w14:paraId="2E723C1A">
            <w:pPr>
              <w:keepNext w:val="0"/>
              <w:keepLines w:val="0"/>
              <w:pageBreakBefore w:val="0"/>
              <w:widowControl/>
              <w:numPr>
                <w:ilvl w:val="1"/>
                <w:numId w:val="3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hanging="567" w:firstLineChars="0"/>
              <w:jc w:val="left"/>
              <w:textAlignment w:val="auto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输入新的表地址，单击设置（</w:t>
            </w:r>
            <w:r>
              <w:rPr>
                <w:rFonts w:hint="eastAsia"/>
                <w:highlight w:val="yellow"/>
                <w:lang w:val="en-US" w:eastAsia="zh-CN"/>
              </w:rPr>
              <w:t>表地址规则是什么？</w:t>
            </w:r>
            <w:r>
              <w:rPr>
                <w:rFonts w:hint="eastAsia"/>
                <w:highlight w:val="none"/>
                <w:lang w:val="en-US" w:eastAsia="zh-CN"/>
              </w:rPr>
              <w:t>是否需要进行清表数据）</w:t>
            </w:r>
          </w:p>
          <w:p w14:paraId="7A56E97D">
            <w:pPr>
              <w:keepNext w:val="0"/>
              <w:keepLines w:val="0"/>
              <w:pageBreakBefore w:val="0"/>
              <w:widowControl/>
              <w:numPr>
                <w:ilvl w:val="0"/>
                <w:numId w:val="3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重新读取表地址，确实是否是设置的表地址，同时，可以使用磁铁磁吸，通过表端可以查看表地址是否设置正确。</w:t>
            </w:r>
          </w:p>
          <w:p w14:paraId="2F721D7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left"/>
              <w:textAlignment w:val="auto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备注：清表数据是对表内正向累计，反向累计归置为0</w:t>
            </w:r>
          </w:p>
        </w:tc>
      </w:tr>
      <w:tr w14:paraId="5534F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69904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051A5C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3D76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CBE23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5F5D97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AAA0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037BD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375D84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23AB7940">
      <w:pPr>
        <w:numPr>
          <w:ilvl w:val="0"/>
          <w:numId w:val="0"/>
        </w:numPr>
        <w:bidi w:val="0"/>
        <w:ind w:leftChars="0"/>
        <w:rPr>
          <w:rFonts w:hint="eastAsia"/>
          <w:lang w:val="en-US" w:eastAsia="zh-CN"/>
        </w:rPr>
      </w:pPr>
    </w:p>
    <w:p w14:paraId="626DE48D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59" w:name="_Toc4296"/>
      <w:r>
        <w:rPr>
          <w:rFonts w:hint="eastAsia"/>
          <w:lang w:val="en-US" w:eastAsia="zh-CN"/>
        </w:rPr>
        <w:t>设置硬件参数</w:t>
      </w:r>
      <w:bookmarkEnd w:id="59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515EB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7D115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29EEBD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设置硬件参数</w:t>
            </w:r>
          </w:p>
        </w:tc>
      </w:tr>
      <w:tr w14:paraId="6ABDF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D18FA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74ADD3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4A3D4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925EB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4D0643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</w:t>
            </w:r>
          </w:p>
        </w:tc>
      </w:tr>
      <w:tr w14:paraId="596A4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E295B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7E016024">
            <w:pPr>
              <w:keepNext w:val="0"/>
              <w:keepLines w:val="0"/>
              <w:pageBreakBefore w:val="0"/>
              <w:widowControl/>
              <w:numPr>
                <w:ilvl w:val="0"/>
                <w:numId w:val="3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设置是否带压力传感以及管段参数</w:t>
            </w:r>
          </w:p>
          <w:p w14:paraId="4EF14158">
            <w:pPr>
              <w:keepNext w:val="0"/>
              <w:keepLines w:val="0"/>
              <w:pageBreakBefore w:val="0"/>
              <w:widowControl/>
              <w:numPr>
                <w:ilvl w:val="1"/>
                <w:numId w:val="3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hanging="567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设置不带压力，输入否以及参数后，单击设置</w:t>
            </w:r>
          </w:p>
          <w:p w14:paraId="529A715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drawing>
                <wp:inline distT="0" distB="0" distL="114300" distR="114300">
                  <wp:extent cx="1435100" cy="1330960"/>
                  <wp:effectExtent l="0" t="0" r="0" b="2540"/>
                  <wp:docPr id="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100" cy="133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75D9D5">
            <w:pPr>
              <w:keepNext w:val="0"/>
              <w:keepLines w:val="0"/>
              <w:pageBreakBefore w:val="0"/>
              <w:widowControl/>
              <w:numPr>
                <w:ilvl w:val="1"/>
                <w:numId w:val="3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hanging="567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设置带压力，设置是，输入参数，单击设置</w:t>
            </w:r>
          </w:p>
          <w:p w14:paraId="58ECB36A">
            <w:pPr>
              <w:keepNext w:val="0"/>
              <w:keepLines w:val="0"/>
              <w:pageBreakBefore w:val="0"/>
              <w:widowControl/>
              <w:numPr>
                <w:ilvl w:val="0"/>
                <w:numId w:val="3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设置成功。</w:t>
            </w:r>
            <w:r>
              <w:rPr>
                <w:rFonts w:hint="eastAsia"/>
                <w:highlight w:val="yellow"/>
                <w:lang w:val="en-US" w:eastAsia="zh-CN"/>
              </w:rPr>
              <w:t>（管段参数的含义，是否成功如何确定？是否设置声道数）</w:t>
            </w:r>
          </w:p>
        </w:tc>
      </w:tr>
      <w:tr w14:paraId="2247F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86BEF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7850E2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73C2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52125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552977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93B2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70E5A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4BEF58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375F1358">
      <w:pPr>
        <w:rPr>
          <w:rFonts w:hint="eastAsia"/>
          <w:lang w:val="en-US" w:eastAsia="zh-CN"/>
        </w:rPr>
      </w:pPr>
    </w:p>
    <w:p w14:paraId="17AFB2E7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60" w:name="_Toc11592"/>
      <w:r>
        <w:rPr>
          <w:rFonts w:hint="eastAsia"/>
          <w:lang w:val="en-US" w:eastAsia="zh-CN"/>
        </w:rPr>
        <w:t>触发主动上报</w:t>
      </w:r>
      <w:bookmarkEnd w:id="60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04943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C6E9B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52B48B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触发主动上报</w:t>
            </w:r>
          </w:p>
        </w:tc>
      </w:tr>
      <w:tr w14:paraId="059ED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6C954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4B5596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46F83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8C602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061996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、红外转串口线、平台</w:t>
            </w:r>
          </w:p>
        </w:tc>
      </w:tr>
      <w:tr w14:paraId="3898E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F41AC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0ECB3A07">
            <w:pPr>
              <w:keepNext w:val="0"/>
              <w:keepLines w:val="0"/>
              <w:pageBreakBefore w:val="0"/>
              <w:widowControl/>
              <w:numPr>
                <w:ilvl w:val="0"/>
                <w:numId w:val="3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打开红外工具，打开串口，单击触发NB上报；</w:t>
            </w:r>
          </w:p>
          <w:p w14:paraId="534CD934">
            <w:pPr>
              <w:keepNext w:val="0"/>
              <w:keepLines w:val="0"/>
              <w:pageBreakBefore w:val="0"/>
              <w:widowControl/>
              <w:numPr>
                <w:ilvl w:val="0"/>
                <w:numId w:val="3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打开平台，单击菜单数据读取命令，单击设备上报数据，查看数据是否上传，上传方式为手动触发；</w:t>
            </w:r>
          </w:p>
        </w:tc>
      </w:tr>
      <w:tr w14:paraId="41CB9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BEFFA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64AF9E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AE16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2844F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4D9E91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5BD9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407E6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797988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40C34655">
      <w:pPr>
        <w:rPr>
          <w:rFonts w:hint="eastAsia"/>
          <w:lang w:val="en-US" w:eastAsia="zh-CN"/>
        </w:rPr>
      </w:pPr>
    </w:p>
    <w:p w14:paraId="7DF5F312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61" w:name="_Toc3925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设置表端IP和端口</w:t>
      </w:r>
      <w:bookmarkEnd w:id="61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785B5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1F2D4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2720D6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671B2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77C52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5E50E1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</w:t>
            </w:r>
          </w:p>
        </w:tc>
      </w:tr>
      <w:tr w14:paraId="7A2D1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77C76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62FB65D5">
            <w:pPr>
              <w:keepNext w:val="0"/>
              <w:keepLines w:val="0"/>
              <w:pageBreakBefore w:val="0"/>
              <w:widowControl/>
              <w:numPr>
                <w:ilvl w:val="0"/>
                <w:numId w:val="3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打开红外工具，打开串口；</w:t>
            </w:r>
          </w:p>
          <w:p w14:paraId="165D6209">
            <w:pPr>
              <w:keepNext w:val="0"/>
              <w:keepLines w:val="0"/>
              <w:pageBreakBefore w:val="0"/>
              <w:widowControl/>
              <w:numPr>
                <w:ilvl w:val="0"/>
                <w:numId w:val="3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在设置主/从IP和主/从端口输入221.229.214.202以及5683，单击设置</w:t>
            </w:r>
          </w:p>
          <w:p w14:paraId="4DD0AA3B">
            <w:pPr>
              <w:keepNext w:val="0"/>
              <w:keepLines w:val="0"/>
              <w:pageBreakBefore w:val="0"/>
              <w:widowControl/>
              <w:numPr>
                <w:ilvl w:val="0"/>
                <w:numId w:val="3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使用磁铁磁吸，</w:t>
            </w:r>
            <w:r>
              <w:rPr>
                <w:rFonts w:hint="eastAsia"/>
                <w:highlight w:val="none"/>
                <w:lang w:val="en-US" w:eastAsia="zh-CN"/>
              </w:rPr>
              <w:t>通过表端可以查看表地址是否设置正确；</w:t>
            </w:r>
          </w:p>
        </w:tc>
      </w:tr>
      <w:tr w14:paraId="5B92A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03539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275DA2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1E59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9C7CE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2DC916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847F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5956E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104925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6BE7794D">
      <w:pPr>
        <w:rPr>
          <w:rFonts w:hint="eastAsia"/>
          <w:lang w:val="en-US" w:eastAsia="zh-CN"/>
        </w:rPr>
      </w:pPr>
    </w:p>
    <w:p w14:paraId="6EF18116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62" w:name="_Toc20659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设置表端日期时间</w:t>
      </w:r>
      <w:bookmarkEnd w:id="62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59246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AB46C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210DF0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7171B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53F95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4BBAE0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</w:t>
            </w:r>
          </w:p>
        </w:tc>
      </w:tr>
      <w:tr w14:paraId="3768F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AE3DA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480BBA08">
            <w:pPr>
              <w:keepNext w:val="0"/>
              <w:keepLines w:val="0"/>
              <w:pageBreakBefore w:val="0"/>
              <w:widowControl/>
              <w:numPr>
                <w:ilvl w:val="0"/>
                <w:numId w:val="3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打开红外工具，打开串口；</w:t>
            </w:r>
          </w:p>
          <w:p w14:paraId="09A28627">
            <w:pPr>
              <w:keepNext w:val="0"/>
              <w:keepLines w:val="0"/>
              <w:pageBreakBefore w:val="0"/>
              <w:widowControl/>
              <w:numPr>
                <w:ilvl w:val="0"/>
                <w:numId w:val="3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在设置表端日期时间，以当日期/前时间为准或自行设置日期时间，单击设置</w:t>
            </w:r>
          </w:p>
          <w:p w14:paraId="6D80FB9B">
            <w:pPr>
              <w:keepNext w:val="0"/>
              <w:keepLines w:val="0"/>
              <w:pageBreakBefore w:val="0"/>
              <w:widowControl/>
              <w:numPr>
                <w:ilvl w:val="0"/>
                <w:numId w:val="3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使用磁铁磁吸，</w:t>
            </w:r>
            <w:r>
              <w:rPr>
                <w:rFonts w:hint="eastAsia"/>
                <w:highlight w:val="none"/>
                <w:lang w:val="en-US" w:eastAsia="zh-CN"/>
              </w:rPr>
              <w:t>通过表端可以查看日期时间是否设置正确（也可以通过读表数据来查看）</w:t>
            </w:r>
          </w:p>
        </w:tc>
      </w:tr>
      <w:tr w14:paraId="07B48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915CD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340F72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8FB6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C1B36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11581A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BBA4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66792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15B866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18AA97CA">
      <w:pPr>
        <w:rPr>
          <w:rFonts w:hint="eastAsia"/>
          <w:lang w:val="en-US" w:eastAsia="zh-CN"/>
        </w:rPr>
      </w:pPr>
    </w:p>
    <w:p w14:paraId="36AD6587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63" w:name="_Toc27510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设置定时上报周期</w:t>
      </w:r>
      <w:bookmarkEnd w:id="63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5AC1C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9D7FB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7E2A82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2BEA1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DA2EE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482537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、红外转串口线、平台</w:t>
            </w:r>
          </w:p>
        </w:tc>
      </w:tr>
      <w:tr w14:paraId="00B30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B6B9A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2C114FD1">
            <w:pPr>
              <w:keepNext w:val="0"/>
              <w:keepLines w:val="0"/>
              <w:pageBreakBefore w:val="0"/>
              <w:widowControl/>
              <w:numPr>
                <w:ilvl w:val="0"/>
                <w:numId w:val="3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打开红外工具，打开串口；</w:t>
            </w:r>
          </w:p>
          <w:p w14:paraId="20AAFCFF">
            <w:pPr>
              <w:keepNext w:val="0"/>
              <w:keepLines w:val="0"/>
              <w:pageBreakBefore w:val="0"/>
              <w:widowControl/>
              <w:numPr>
                <w:ilvl w:val="0"/>
                <w:numId w:val="3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在设置定时上报周期时间栏，输入基准时间“00:00:00”,间隔分钟为1440</w:t>
            </w:r>
          </w:p>
          <w:p w14:paraId="72170A47">
            <w:pPr>
              <w:keepNext w:val="0"/>
              <w:keepLines w:val="0"/>
              <w:pageBreakBefore w:val="0"/>
              <w:widowControl/>
              <w:numPr>
                <w:ilvl w:val="0"/>
                <w:numId w:val="3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单击设置；</w:t>
            </w:r>
          </w:p>
          <w:p w14:paraId="3CAF2BC5">
            <w:pPr>
              <w:keepNext w:val="0"/>
              <w:keepLines w:val="0"/>
              <w:pageBreakBefore w:val="0"/>
              <w:widowControl/>
              <w:numPr>
                <w:ilvl w:val="0"/>
                <w:numId w:val="3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在设置表端时间栏，输入时间为“23:59:30”，任意日期，等待30秒</w:t>
            </w:r>
          </w:p>
          <w:p w14:paraId="5423BE2F">
            <w:pPr>
              <w:keepNext w:val="0"/>
              <w:keepLines w:val="0"/>
              <w:pageBreakBefore w:val="0"/>
              <w:widowControl/>
              <w:numPr>
                <w:ilvl w:val="0"/>
                <w:numId w:val="3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打开平台，单击菜单数据读取命令，单击设备上报数据，查看数据是否上传，上传方式为定时上报；</w:t>
            </w:r>
          </w:p>
        </w:tc>
      </w:tr>
      <w:tr w14:paraId="2ADCD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53FF8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23CBF1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3638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CF495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0A78B9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13A4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EAA16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01729B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4136902B">
      <w:pPr>
        <w:rPr>
          <w:rFonts w:hint="eastAsia"/>
          <w:lang w:val="en-US" w:eastAsia="zh-CN"/>
        </w:rPr>
      </w:pPr>
    </w:p>
    <w:p w14:paraId="2A6C52B8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64" w:name="_Toc32329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设置DMA定时上报周期</w:t>
      </w:r>
      <w:bookmarkEnd w:id="64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63855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D4FC1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282CF5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27F54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44F42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73F80F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、红外转串口线、平台</w:t>
            </w:r>
          </w:p>
        </w:tc>
      </w:tr>
      <w:tr w14:paraId="4AEC2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9AD28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705E298D">
            <w:pPr>
              <w:keepNext w:val="0"/>
              <w:keepLines w:val="0"/>
              <w:pageBreakBefore w:val="0"/>
              <w:widowControl/>
              <w:numPr>
                <w:ilvl w:val="0"/>
                <w:numId w:val="38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打开红外工具，打开串口；</w:t>
            </w:r>
          </w:p>
          <w:p w14:paraId="65319E7F">
            <w:pPr>
              <w:keepNext w:val="0"/>
              <w:keepLines w:val="0"/>
              <w:pageBreakBefore w:val="0"/>
              <w:widowControl/>
              <w:numPr>
                <w:ilvl w:val="0"/>
                <w:numId w:val="38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在设置DMA上报周期时间栏，输入开始时间以及结束时间（相差15分钟），间隔分钟为3分钟单击设置；</w:t>
            </w:r>
          </w:p>
          <w:p w14:paraId="45DCBEF9">
            <w:pPr>
              <w:keepNext w:val="0"/>
              <w:keepLines w:val="0"/>
              <w:pageBreakBefore w:val="0"/>
              <w:widowControl/>
              <w:numPr>
                <w:ilvl w:val="0"/>
                <w:numId w:val="38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在设置表端时间栏，输入DMA上报周期时间栏开始时间的少1分钟，任意日期，等待20分钟</w:t>
            </w:r>
          </w:p>
          <w:p w14:paraId="49382FDA">
            <w:pPr>
              <w:keepNext w:val="0"/>
              <w:keepLines w:val="0"/>
              <w:pageBreakBefore w:val="0"/>
              <w:widowControl/>
              <w:numPr>
                <w:ilvl w:val="0"/>
                <w:numId w:val="38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打开平台，单击菜单数据读取命令，单击设备上报数据，查看数据是否上传，上传方式为定时上报</w:t>
            </w:r>
            <w:r>
              <w:rPr>
                <w:rFonts w:hint="eastAsia"/>
                <w:highlight w:val="none"/>
                <w:lang w:val="en-US" w:eastAsia="zh-CN"/>
              </w:rPr>
              <w:t>（未区分DMA定时上报）</w:t>
            </w:r>
            <w:r>
              <w:rPr>
                <w:rFonts w:hint="eastAsia"/>
                <w:lang w:val="en-US" w:eastAsia="zh-CN"/>
              </w:rPr>
              <w:t>，应该有5条数据；</w:t>
            </w:r>
          </w:p>
        </w:tc>
      </w:tr>
      <w:tr w14:paraId="13D28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C2838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5C24EE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645A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DF6A3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1595CC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6041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92B58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6D81E0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1C8D6B16">
      <w:pPr>
        <w:rPr>
          <w:rFonts w:hint="eastAsia"/>
          <w:lang w:val="en-US" w:eastAsia="zh-CN"/>
        </w:rPr>
      </w:pPr>
    </w:p>
    <w:p w14:paraId="5C7D14DE">
      <w:pPr>
        <w:pStyle w:val="3"/>
        <w:bidi w:val="0"/>
        <w:ind w:left="864" w:leftChars="0" w:hanging="864" w:firstLineChars="0"/>
        <w:rPr>
          <w:rFonts w:hint="default"/>
          <w:lang w:val="en-US" w:eastAsia="zh-CN"/>
        </w:rPr>
      </w:pPr>
      <w:bookmarkStart w:id="65" w:name="_Toc23917"/>
      <w:r>
        <w:rPr>
          <w:rFonts w:hint="eastAsia"/>
          <w:lang w:val="en-US" w:eastAsia="zh-CN"/>
        </w:rPr>
        <w:t>大流量告警</w:t>
      </w:r>
      <w:bookmarkEnd w:id="65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2202C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BA17A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083760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大流量告警（主要是针对表后爆管）</w:t>
            </w:r>
          </w:p>
        </w:tc>
      </w:tr>
      <w:tr w14:paraId="27820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32956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0F302C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水表、直流电源、小磁铁、红外串口、校表台</w:t>
            </w:r>
          </w:p>
        </w:tc>
      </w:tr>
      <w:tr w14:paraId="24C54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153B1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68C71B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24547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107" w:type="dxa"/>
          </w:tcPr>
          <w:p w14:paraId="5618A973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5E8B2EBF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vertAlign w:val="baseline"/>
                <w:lang w:val="en-US" w:eastAsia="zh-CN"/>
              </w:rPr>
              <w:t>在红外工具中进入如下操作：</w:t>
            </w:r>
          </w:p>
          <w:p w14:paraId="1A31EF9F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.1在菜单“设置表端流量告警”进行设置，“大流量告警阀值(m³)”设为“10方”，大流量持续监测时间(min)设置为5分钟，,mid输入识别码（数字）（持续流量检测时间设置为0，渗漏及后面的均设置为0（表示不监测））</w:t>
            </w:r>
          </w:p>
          <w:p w14:paraId="5A481E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2、观察“平台”-数据读取查询-设备上报数据中，查看数据是否送达，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观察上报数据字段中，大流量以及持续时间是否设置正常</w:t>
            </w:r>
          </w:p>
          <w:p w14:paraId="63DA129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3、将表安装在校表上，设置流量大于平台设置的流量时，观察平台是否报警</w:t>
            </w:r>
          </w:p>
        </w:tc>
      </w:tr>
      <w:tr w14:paraId="3EF2C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7122C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5D5DE7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73A6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64A89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5D2E8D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CD97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585D4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55D532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5EF00D32">
      <w:pPr>
        <w:pStyle w:val="3"/>
        <w:bidi w:val="0"/>
        <w:ind w:left="864" w:leftChars="0" w:hanging="864" w:firstLineChars="0"/>
        <w:rPr>
          <w:rFonts w:hint="default"/>
          <w:lang w:val="en-US" w:eastAsia="zh-CN"/>
        </w:rPr>
      </w:pPr>
      <w:bookmarkStart w:id="66" w:name="_Toc30297"/>
      <w:r>
        <w:rPr>
          <w:rFonts w:hint="eastAsia"/>
          <w:lang w:val="en-US" w:eastAsia="zh-CN"/>
        </w:rPr>
        <w:t>持续流量监测</w:t>
      </w:r>
      <w:bookmarkEnd w:id="66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51874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3B6AF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13325A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持续流量监测</w:t>
            </w:r>
            <w:r>
              <w:rPr>
                <w:rFonts w:hint="eastAsia"/>
                <w:vertAlign w:val="baseline"/>
                <w:lang w:val="en-US" w:eastAsia="zh-CN"/>
              </w:rPr>
              <w:t>（主要是针对用户表一直在跑，没有关阀的情况，流量范围是程序在计算，一般时间设置的比较长）</w:t>
            </w:r>
          </w:p>
        </w:tc>
      </w:tr>
      <w:tr w14:paraId="65519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0F3FC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1E92B6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水表、直流电源、小磁铁、红外串口、校表台</w:t>
            </w:r>
          </w:p>
        </w:tc>
      </w:tr>
      <w:tr w14:paraId="5E2F9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C0A12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3A8406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29F0F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107" w:type="dxa"/>
          </w:tcPr>
          <w:p w14:paraId="160288F0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2C104C4E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vertAlign w:val="baseline"/>
                <w:lang w:val="en-US" w:eastAsia="zh-CN"/>
              </w:rPr>
              <w:t>在</w:t>
            </w: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中进入如下操作：</w:t>
            </w:r>
          </w:p>
          <w:p w14:paraId="6FCA40AA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.1“设置表端流量告警”进行设置，续流量检测时间设置为5分钟，,mid输入识别码（数字）（“大流量告警阀值(m³)”设为“10方”，大流量持续监测时间(min)设置为5分钟，渗漏及后面的均设置为0（表示不监测））</w:t>
            </w:r>
          </w:p>
          <w:p w14:paraId="2E1C5C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2、观察“平台”-数据读取查询-设备上报数据中，查看数据是否送达，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观察上报数据字段中，大流量以及持续时间是否设置正常</w:t>
            </w:r>
          </w:p>
          <w:p w14:paraId="1E29606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3、将表安装在校表上，持续跑流量，观察平台是否报警</w:t>
            </w:r>
          </w:p>
        </w:tc>
      </w:tr>
      <w:tr w14:paraId="0E1C5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11A8B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5480AB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732D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188D2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54DA74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3D0B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6FBCC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75939C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40C10FBD">
      <w:pPr>
        <w:pStyle w:val="6"/>
        <w:rPr>
          <w:rFonts w:hint="default"/>
          <w:lang w:val="en-US" w:eastAsia="zh-CN"/>
        </w:rPr>
      </w:pPr>
    </w:p>
    <w:p w14:paraId="246B4D8F">
      <w:pPr>
        <w:pStyle w:val="3"/>
        <w:bidi w:val="0"/>
        <w:ind w:left="864" w:leftChars="0" w:hanging="864" w:firstLineChars="0"/>
        <w:rPr>
          <w:rFonts w:hint="default"/>
          <w:lang w:val="en-US" w:eastAsia="zh-CN"/>
        </w:rPr>
      </w:pPr>
      <w:bookmarkStart w:id="67" w:name="_Toc20733"/>
      <w:r>
        <w:rPr>
          <w:rFonts w:hint="eastAsia"/>
          <w:lang w:val="en-US" w:eastAsia="zh-CN"/>
        </w:rPr>
        <w:t>渗漏流量监测</w:t>
      </w:r>
      <w:bookmarkEnd w:id="67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37341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96E31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1DB631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渗漏流量监测</w:t>
            </w:r>
            <w:r>
              <w:rPr>
                <w:rFonts w:hint="eastAsia"/>
                <w:vertAlign w:val="baseline"/>
                <w:lang w:val="en-US" w:eastAsia="zh-CN"/>
              </w:rPr>
              <w:t>（主要是针对用户表一直在跑，流量范围很小，一般时间设置的比较长）</w:t>
            </w:r>
          </w:p>
        </w:tc>
      </w:tr>
      <w:tr w14:paraId="53000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02C8D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26E744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水表、直流电源、小磁铁、红外串口、校表台</w:t>
            </w:r>
          </w:p>
        </w:tc>
      </w:tr>
      <w:tr w14:paraId="62A06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A963D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77F9C3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1D0B2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107" w:type="dxa"/>
          </w:tcPr>
          <w:p w14:paraId="669E16FA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37DA44D7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vertAlign w:val="baseline"/>
                <w:lang w:val="en-US" w:eastAsia="zh-CN"/>
              </w:rPr>
              <w:t>在红外工具中进入如下操作：</w:t>
            </w:r>
          </w:p>
          <w:p w14:paraId="3B1B631F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.1在菜单“设置表端流量告警”进行设置，</w:t>
            </w:r>
            <w:r>
              <w:rPr>
                <w:rFonts w:hint="eastAsia"/>
                <w:lang w:val="en-US" w:eastAsia="zh-CN"/>
              </w:rPr>
              <w:t>渗漏流量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检测时间设置为5分钟，</w:t>
            </w:r>
            <w:r>
              <w:rPr>
                <w:rFonts w:hint="eastAsia"/>
                <w:lang w:val="en-US" w:eastAsia="zh-CN"/>
              </w:rPr>
              <w:t>渗漏流量阈值设置比较小，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,mid输入识别码（数字）（“大流量告警阀值(m³)”设为“10方”，大流量持续监测时间(min)设置为5分钟，）</w:t>
            </w:r>
          </w:p>
          <w:p w14:paraId="42B330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2、观察“平台”-数据读取查询-设备上报数据中，查看数据是否送达，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观察上报数据字段中，大流量以及持续时间是否设置正常</w:t>
            </w:r>
          </w:p>
          <w:p w14:paraId="5AA2C05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3、将表安装在校表上，设置流量小于平台设置的流量时，观察平台是否报警</w:t>
            </w:r>
          </w:p>
        </w:tc>
      </w:tr>
      <w:tr w14:paraId="74C80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94C1D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3BF259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0CB3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A7E78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3FC5D0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97FC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27BC7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1A937B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5DAF1372">
      <w:pPr>
        <w:pStyle w:val="6"/>
        <w:rPr>
          <w:rFonts w:hint="default"/>
          <w:lang w:val="en-US" w:eastAsia="zh-CN"/>
        </w:rPr>
      </w:pPr>
    </w:p>
    <w:p w14:paraId="6337AA47">
      <w:pPr>
        <w:rPr>
          <w:rFonts w:hint="eastAsia"/>
          <w:lang w:val="en-US" w:eastAsia="zh-CN"/>
        </w:rPr>
      </w:pPr>
    </w:p>
    <w:p w14:paraId="2E8BDCD6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68" w:name="_Toc14211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设置表端压力告警参数（无法测试）</w:t>
      </w:r>
      <w:bookmarkEnd w:id="68"/>
    </w:p>
    <w:p w14:paraId="30E7A840">
      <w:pPr>
        <w:rPr>
          <w:rFonts w:hint="eastAsia"/>
          <w:lang w:val="en-US" w:eastAsia="zh-CN"/>
        </w:rPr>
      </w:pPr>
    </w:p>
    <w:p w14:paraId="23D47A91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69" w:name="_Toc11403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设置表端温度告警参数</w:t>
      </w:r>
      <w:bookmarkEnd w:id="69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1D582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07" w:type="dxa"/>
          </w:tcPr>
          <w:p w14:paraId="432768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0BF5BE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7443E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7219F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10A56E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、红外转串口线、平台</w:t>
            </w:r>
          </w:p>
        </w:tc>
      </w:tr>
      <w:tr w14:paraId="78F22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83E9C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4CCD690B">
            <w:pPr>
              <w:keepNext w:val="0"/>
              <w:keepLines w:val="0"/>
              <w:pageBreakBefore w:val="0"/>
              <w:widowControl/>
              <w:numPr>
                <w:ilvl w:val="0"/>
                <w:numId w:val="3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打开红外工具，打开串口；</w:t>
            </w:r>
          </w:p>
          <w:p w14:paraId="2C179579">
            <w:pPr>
              <w:keepNext w:val="0"/>
              <w:keepLines w:val="0"/>
              <w:pageBreakBefore w:val="0"/>
              <w:widowControl/>
              <w:numPr>
                <w:ilvl w:val="0"/>
                <w:numId w:val="3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在设置温度告警参数栏中</w:t>
            </w:r>
            <w:r>
              <w:rPr>
                <w:rFonts w:hint="eastAsia"/>
                <w:highlight w:val="none"/>
                <w:lang w:val="en-US" w:eastAsia="zh-CN"/>
              </w:rPr>
              <w:t>，高温门限为1；低温门限为0</w:t>
            </w:r>
          </w:p>
          <w:p w14:paraId="06B00872">
            <w:pPr>
              <w:keepNext w:val="0"/>
              <w:keepLines w:val="0"/>
              <w:pageBreakBefore w:val="0"/>
              <w:widowControl/>
              <w:numPr>
                <w:ilvl w:val="0"/>
                <w:numId w:val="3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单击设置</w:t>
            </w:r>
          </w:p>
          <w:p w14:paraId="034A9D3B">
            <w:pPr>
              <w:keepNext w:val="0"/>
              <w:keepLines w:val="0"/>
              <w:pageBreakBefore w:val="0"/>
              <w:widowControl/>
              <w:numPr>
                <w:ilvl w:val="0"/>
                <w:numId w:val="3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把表放置水中10分钟</w:t>
            </w:r>
          </w:p>
          <w:p w14:paraId="64F5D88D">
            <w:pPr>
              <w:keepNext w:val="0"/>
              <w:keepLines w:val="0"/>
              <w:pageBreakBefore w:val="0"/>
              <w:widowControl/>
              <w:numPr>
                <w:ilvl w:val="0"/>
                <w:numId w:val="3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观察“平台”-数据读取查询-设备上报数据中，查看数据是否送达，将表安装在校表台上，当水温大于1时，观察平台是否高温报警。</w:t>
            </w:r>
          </w:p>
          <w:p w14:paraId="637BC6B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rightChars="0"/>
              <w:jc w:val="left"/>
              <w:textAlignment w:val="auto"/>
              <w:rPr>
                <w:rFonts w:hint="eastAsia"/>
                <w:lang w:val="en-US" w:eastAsia="zh-CN"/>
              </w:rPr>
            </w:pPr>
          </w:p>
          <w:p w14:paraId="317B27E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right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重复以上操作</w:t>
            </w:r>
          </w:p>
          <w:p w14:paraId="27C0C09F">
            <w:pPr>
              <w:keepNext w:val="0"/>
              <w:keepLines w:val="0"/>
              <w:pageBreakBefore w:val="0"/>
              <w:widowControl/>
              <w:numPr>
                <w:ilvl w:val="0"/>
                <w:numId w:val="3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在设置温度告警参数栏中</w:t>
            </w:r>
            <w:r>
              <w:rPr>
                <w:rFonts w:hint="eastAsia"/>
                <w:highlight w:val="none"/>
                <w:lang w:val="en-US" w:eastAsia="zh-CN"/>
              </w:rPr>
              <w:t>，高温门限为40；低温门限为30，观察平台是否低温报警。</w:t>
            </w:r>
          </w:p>
        </w:tc>
      </w:tr>
      <w:tr w14:paraId="5CA0F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B1C4E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2C0374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02C6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6748A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390094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1DE2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FED22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09771F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57CF89C9">
      <w:pPr>
        <w:rPr>
          <w:rFonts w:hint="eastAsia"/>
          <w:lang w:val="en-US" w:eastAsia="zh-CN"/>
        </w:rPr>
      </w:pPr>
    </w:p>
    <w:p w14:paraId="0C79B083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70" w:name="_Toc28632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设置表端结算日</w:t>
      </w:r>
      <w:bookmarkEnd w:id="70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7058B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BFFF9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6D93DA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45EB7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172A8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33EE6C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、红外转串口线、平台</w:t>
            </w:r>
          </w:p>
        </w:tc>
      </w:tr>
      <w:tr w14:paraId="4F5F9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B735E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4D01D071">
            <w:pPr>
              <w:keepNext w:val="0"/>
              <w:keepLines w:val="0"/>
              <w:pageBreakBefore w:val="0"/>
              <w:widowControl/>
              <w:numPr>
                <w:ilvl w:val="0"/>
                <w:numId w:val="4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打开红外工具，打开串口；</w:t>
            </w:r>
          </w:p>
          <w:p w14:paraId="4F33522A">
            <w:pPr>
              <w:keepNext w:val="0"/>
              <w:keepLines w:val="0"/>
              <w:pageBreakBefore w:val="0"/>
              <w:widowControl/>
              <w:numPr>
                <w:ilvl w:val="0"/>
                <w:numId w:val="4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在设置结算日栏中</w:t>
            </w:r>
            <w:r>
              <w:rPr>
                <w:rFonts w:hint="eastAsia"/>
                <w:highlight w:val="none"/>
                <w:lang w:val="en-US" w:eastAsia="zh-CN"/>
              </w:rPr>
              <w:t>，结算日设置为15</w:t>
            </w:r>
          </w:p>
          <w:p w14:paraId="017E0A8D">
            <w:pPr>
              <w:keepNext w:val="0"/>
              <w:keepLines w:val="0"/>
              <w:pageBreakBefore w:val="0"/>
              <w:widowControl/>
              <w:numPr>
                <w:ilvl w:val="0"/>
                <w:numId w:val="4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单击设置</w:t>
            </w:r>
          </w:p>
          <w:p w14:paraId="141C0F25">
            <w:pPr>
              <w:keepNext w:val="0"/>
              <w:keepLines w:val="0"/>
              <w:pageBreakBefore w:val="0"/>
              <w:widowControl/>
              <w:numPr>
                <w:ilvl w:val="0"/>
                <w:numId w:val="4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设置基准时间为23：59；40，设置时间为14日，等待20秒</w:t>
            </w:r>
          </w:p>
          <w:p w14:paraId="07B0AB5D">
            <w:pPr>
              <w:keepNext w:val="0"/>
              <w:keepLines w:val="0"/>
              <w:pageBreakBefore w:val="0"/>
              <w:widowControl/>
              <w:numPr>
                <w:ilvl w:val="0"/>
                <w:numId w:val="4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打开平台，单击菜单数据读取命令，单击设备上报数据，查看数据是否上传，上传方式为定时上报。</w:t>
            </w:r>
          </w:p>
          <w:p w14:paraId="70EBD9E2">
            <w:pPr>
              <w:keepNext w:val="0"/>
              <w:keepLines w:val="0"/>
              <w:pageBreakBefore w:val="0"/>
              <w:widowControl/>
              <w:numPr>
                <w:ilvl w:val="0"/>
                <w:numId w:val="4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重复以上步骤，结算日设置为31，</w:t>
            </w:r>
          </w:p>
          <w:p w14:paraId="4E301042">
            <w:pPr>
              <w:keepNext w:val="0"/>
              <w:keepLines w:val="0"/>
              <w:pageBreakBefore w:val="0"/>
              <w:widowControl/>
              <w:numPr>
                <w:ilvl w:val="0"/>
                <w:numId w:val="4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日期设置为2月28日，基准时间为23：59；40,等待20秒看数据是否上传至平台</w:t>
            </w:r>
          </w:p>
        </w:tc>
      </w:tr>
      <w:tr w14:paraId="2FA85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90BB1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057BEE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9047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015E9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48C5E4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DB9F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964D8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4DF8AD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11DF1D20">
      <w:pPr>
        <w:rPr>
          <w:rFonts w:hint="eastAsia"/>
          <w:lang w:val="en-US" w:eastAsia="zh-CN"/>
        </w:rPr>
      </w:pPr>
    </w:p>
    <w:p w14:paraId="50058F51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71" w:name="_Toc10805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设置表端底读</w:t>
      </w:r>
      <w:bookmarkEnd w:id="71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6B02B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F789A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4BEC37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67CDF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98E5A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575611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、红外转串口线、平台</w:t>
            </w:r>
          </w:p>
        </w:tc>
      </w:tr>
      <w:tr w14:paraId="3D941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B9CE7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2CD16EA3">
            <w:pPr>
              <w:keepNext w:val="0"/>
              <w:keepLines w:val="0"/>
              <w:pageBreakBefore w:val="0"/>
              <w:widowControl/>
              <w:numPr>
                <w:ilvl w:val="0"/>
                <w:numId w:val="4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打开红外工具，打开串口；</w:t>
            </w:r>
          </w:p>
          <w:p w14:paraId="210E0569">
            <w:pPr>
              <w:keepNext w:val="0"/>
              <w:keepLines w:val="0"/>
              <w:pageBreakBefore w:val="0"/>
              <w:widowControl/>
              <w:numPr>
                <w:ilvl w:val="0"/>
                <w:numId w:val="4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查看表端的正向累计及方向累计，并记录</w:t>
            </w:r>
          </w:p>
          <w:p w14:paraId="179845BD">
            <w:pPr>
              <w:keepNext w:val="0"/>
              <w:keepLines w:val="0"/>
              <w:pageBreakBefore w:val="0"/>
              <w:widowControl/>
              <w:numPr>
                <w:ilvl w:val="0"/>
                <w:numId w:val="4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在设置表端底数栏中</w:t>
            </w:r>
            <w:r>
              <w:rPr>
                <w:rFonts w:hint="eastAsia"/>
                <w:highlight w:val="none"/>
                <w:lang w:val="en-US" w:eastAsia="zh-CN"/>
              </w:rPr>
              <w:t>，底数方式选择“1”，正向累计及方向累计录入10</w:t>
            </w:r>
          </w:p>
          <w:p w14:paraId="45EA7D4F">
            <w:pPr>
              <w:keepNext w:val="0"/>
              <w:keepLines w:val="0"/>
              <w:pageBreakBefore w:val="0"/>
              <w:widowControl/>
              <w:numPr>
                <w:ilvl w:val="0"/>
                <w:numId w:val="4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单击设置</w:t>
            </w:r>
          </w:p>
          <w:p w14:paraId="6027B2A3">
            <w:pPr>
              <w:keepNext w:val="0"/>
              <w:keepLines w:val="0"/>
              <w:pageBreakBefore w:val="0"/>
              <w:widowControl/>
              <w:numPr>
                <w:ilvl w:val="0"/>
                <w:numId w:val="4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查看表端的正向累计及方向累计是否增加10，并记录</w:t>
            </w:r>
          </w:p>
          <w:p w14:paraId="03A426BB">
            <w:pPr>
              <w:keepNext w:val="0"/>
              <w:keepLines w:val="0"/>
              <w:pageBreakBefore w:val="0"/>
              <w:widowControl/>
              <w:numPr>
                <w:ilvl w:val="0"/>
                <w:numId w:val="4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在设置表端底数栏中</w:t>
            </w:r>
            <w:r>
              <w:rPr>
                <w:rFonts w:hint="eastAsia"/>
                <w:highlight w:val="none"/>
                <w:lang w:val="en-US" w:eastAsia="zh-CN"/>
              </w:rPr>
              <w:t>，底数方式选择“1”，正向累计及方向累计录入-5</w:t>
            </w:r>
          </w:p>
          <w:p w14:paraId="0CF76DE9">
            <w:pPr>
              <w:keepNext w:val="0"/>
              <w:keepLines w:val="0"/>
              <w:pageBreakBefore w:val="0"/>
              <w:widowControl/>
              <w:numPr>
                <w:ilvl w:val="0"/>
                <w:numId w:val="4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查看表端的正向累计及方向累计是否减少5</w:t>
            </w:r>
          </w:p>
          <w:p w14:paraId="1271C41A">
            <w:pPr>
              <w:keepNext w:val="0"/>
              <w:keepLines w:val="0"/>
              <w:pageBreakBefore w:val="0"/>
              <w:widowControl/>
              <w:numPr>
                <w:ilvl w:val="0"/>
                <w:numId w:val="4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在设置表端底数栏中</w:t>
            </w:r>
            <w:r>
              <w:rPr>
                <w:rFonts w:hint="eastAsia"/>
                <w:highlight w:val="none"/>
                <w:lang w:val="en-US" w:eastAsia="zh-CN"/>
              </w:rPr>
              <w:t>，底数方式选择“0”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正向累计及方向累计录入100</w:t>
            </w:r>
            <w:r>
              <w:rPr>
                <w:rFonts w:hint="eastAsia"/>
                <w:lang w:val="en-US" w:eastAsia="zh-CN"/>
              </w:rPr>
              <w:t>。</w:t>
            </w:r>
          </w:p>
          <w:p w14:paraId="5F9F8BE0">
            <w:pPr>
              <w:keepNext w:val="0"/>
              <w:keepLines w:val="0"/>
              <w:pageBreakBefore w:val="0"/>
              <w:widowControl/>
              <w:numPr>
                <w:ilvl w:val="0"/>
                <w:numId w:val="4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查看表端的正向累计及方向累计是否为100</w:t>
            </w:r>
          </w:p>
        </w:tc>
      </w:tr>
      <w:tr w14:paraId="419F4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2D771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60C5A7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A9DC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38EE3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0CE26C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3144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B190A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447D0D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55E79237">
      <w:pPr>
        <w:rPr>
          <w:rFonts w:hint="eastAsia"/>
          <w:lang w:val="en-US" w:eastAsia="zh-CN"/>
        </w:rPr>
      </w:pPr>
    </w:p>
    <w:p w14:paraId="7832C54B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72" w:name="_Toc27652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读月结数据</w:t>
      </w:r>
      <w:bookmarkEnd w:id="72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5A363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A1741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4FE576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68B57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CCBC7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4D4F07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、红外转串口线、平台</w:t>
            </w:r>
          </w:p>
        </w:tc>
      </w:tr>
      <w:tr w14:paraId="4DCC1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B22D9E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2549CA7E">
            <w:pPr>
              <w:keepNext w:val="0"/>
              <w:keepLines w:val="0"/>
              <w:pageBreakBefore w:val="0"/>
              <w:widowControl/>
              <w:numPr>
                <w:ilvl w:val="0"/>
                <w:numId w:val="4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打开红外工具，打开串口；</w:t>
            </w:r>
          </w:p>
          <w:p w14:paraId="021DBF51">
            <w:pPr>
              <w:keepNext w:val="0"/>
              <w:keepLines w:val="0"/>
              <w:pageBreakBefore w:val="0"/>
              <w:widowControl/>
              <w:numPr>
                <w:ilvl w:val="0"/>
                <w:numId w:val="4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在读取数据栏中，单击读月结数据按钮；</w:t>
            </w:r>
          </w:p>
          <w:p w14:paraId="43E083B1">
            <w:pPr>
              <w:keepNext w:val="0"/>
              <w:keepLines w:val="0"/>
              <w:pageBreakBefore w:val="0"/>
              <w:widowControl/>
              <w:numPr>
                <w:ilvl w:val="0"/>
                <w:numId w:val="4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使用小磁铁触发（液晶屏右下角触发5秒），水表模块进行主动上传数据</w:t>
            </w:r>
          </w:p>
          <w:p w14:paraId="4C19194D">
            <w:pPr>
              <w:keepNext w:val="0"/>
              <w:keepLines w:val="0"/>
              <w:pageBreakBefore w:val="0"/>
              <w:widowControl/>
              <w:numPr>
                <w:ilvl w:val="0"/>
                <w:numId w:val="4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观察“平台”-数据读取查询-设备月数据中，查看数据是否正常上报。</w:t>
            </w:r>
          </w:p>
          <w:p w14:paraId="01A4EFA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left"/>
              <w:textAlignment w:val="auto"/>
              <w:rPr>
                <w:rFonts w:hint="default"/>
                <w:lang w:val="en-US" w:eastAsia="zh-CN"/>
              </w:rPr>
            </w:pPr>
          </w:p>
        </w:tc>
      </w:tr>
      <w:tr w14:paraId="66BC1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61201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0CD21D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C409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07" w:type="dxa"/>
          </w:tcPr>
          <w:p w14:paraId="2E1B3F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0AA4E2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B4FF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DDCB5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356E6B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6C220BBE">
      <w:pPr>
        <w:rPr>
          <w:rFonts w:hint="eastAsia"/>
          <w:lang w:val="en-US" w:eastAsia="zh-CN"/>
        </w:rPr>
      </w:pPr>
    </w:p>
    <w:p w14:paraId="2C8163F7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73" w:name="_Toc6871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读日结数据</w:t>
      </w:r>
      <w:bookmarkEnd w:id="73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6EAA7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358AE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4EB393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1BA7C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0C8C4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3BF1D4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、红外转串口线、平台</w:t>
            </w:r>
          </w:p>
        </w:tc>
      </w:tr>
      <w:tr w14:paraId="4460D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E6104D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08BF881A">
            <w:pPr>
              <w:keepNext w:val="0"/>
              <w:keepLines w:val="0"/>
              <w:pageBreakBefore w:val="0"/>
              <w:widowControl/>
              <w:numPr>
                <w:ilvl w:val="0"/>
                <w:numId w:val="4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打开红外工具，打开串口；</w:t>
            </w:r>
          </w:p>
          <w:p w14:paraId="0C90AE42">
            <w:pPr>
              <w:keepNext w:val="0"/>
              <w:keepLines w:val="0"/>
              <w:pageBreakBefore w:val="0"/>
              <w:widowControl/>
              <w:numPr>
                <w:ilvl w:val="0"/>
                <w:numId w:val="4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在读取数据栏中，单击读日结数据按钮；（</w:t>
            </w:r>
            <w:r>
              <w:rPr>
                <w:rFonts w:hint="eastAsia"/>
                <w:highlight w:val="none"/>
                <w:lang w:val="en-US" w:eastAsia="zh-CN"/>
              </w:rPr>
              <w:t>界面上虽然有起止日期，程序是按照开始日期取前30天的数据）</w:t>
            </w:r>
          </w:p>
          <w:p w14:paraId="6E31470E">
            <w:pPr>
              <w:keepNext w:val="0"/>
              <w:keepLines w:val="0"/>
              <w:pageBreakBefore w:val="0"/>
              <w:widowControl/>
              <w:numPr>
                <w:ilvl w:val="0"/>
                <w:numId w:val="4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使用小磁铁触发（液晶屏右下角触发5秒），水表模块进行主动上传数据</w:t>
            </w:r>
          </w:p>
          <w:p w14:paraId="7664DF2C">
            <w:pPr>
              <w:keepNext w:val="0"/>
              <w:keepLines w:val="0"/>
              <w:pageBreakBefore w:val="0"/>
              <w:widowControl/>
              <w:numPr>
                <w:ilvl w:val="0"/>
                <w:numId w:val="4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观察“平台”-数据读取查询-设备日数据中，查看数据是否正常上报。</w:t>
            </w:r>
          </w:p>
        </w:tc>
      </w:tr>
      <w:tr w14:paraId="77149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15FE8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4749BB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0763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FFE4B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37651E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74B3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A82D8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422817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120E5495">
      <w:pPr>
        <w:rPr>
          <w:rFonts w:hint="eastAsia"/>
          <w:lang w:val="en-US" w:eastAsia="zh-CN"/>
        </w:rPr>
      </w:pPr>
    </w:p>
    <w:p w14:paraId="743A3BAF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74" w:name="_Toc7369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读时结数据</w:t>
      </w:r>
      <w:bookmarkEnd w:id="74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322CB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D0043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2151F9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33236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E4E52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2A1993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、红外转串口线、平台</w:t>
            </w:r>
          </w:p>
        </w:tc>
      </w:tr>
      <w:tr w14:paraId="4DB4A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14C11E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2EA55FD2">
            <w:pPr>
              <w:keepNext w:val="0"/>
              <w:keepLines w:val="0"/>
              <w:pageBreakBefore w:val="0"/>
              <w:widowControl/>
              <w:numPr>
                <w:ilvl w:val="0"/>
                <w:numId w:val="4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打开红外工具，打开串口；</w:t>
            </w:r>
          </w:p>
          <w:p w14:paraId="273DC2F5">
            <w:pPr>
              <w:keepNext w:val="0"/>
              <w:keepLines w:val="0"/>
              <w:pageBreakBefore w:val="0"/>
              <w:widowControl/>
              <w:numPr>
                <w:ilvl w:val="0"/>
                <w:numId w:val="4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在读取数据栏中，单击读日结数据按钮；</w:t>
            </w:r>
          </w:p>
          <w:p w14:paraId="4CD2AA78">
            <w:pPr>
              <w:keepNext w:val="0"/>
              <w:keepLines w:val="0"/>
              <w:pageBreakBefore w:val="0"/>
              <w:widowControl/>
              <w:numPr>
                <w:ilvl w:val="0"/>
                <w:numId w:val="4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使用小磁铁触发（液晶屏右下角触发5秒），水表模块进行主动上传数据</w:t>
            </w:r>
          </w:p>
          <w:p w14:paraId="2CE2E402">
            <w:pPr>
              <w:keepNext w:val="0"/>
              <w:keepLines w:val="0"/>
              <w:pageBreakBefore w:val="0"/>
              <w:widowControl/>
              <w:numPr>
                <w:ilvl w:val="0"/>
                <w:numId w:val="4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观察“平台”-数据读取查询-设备24小时数据中，查看数据是否正常上报。</w:t>
            </w:r>
          </w:p>
        </w:tc>
      </w:tr>
      <w:tr w14:paraId="1960E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84F18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752EAF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355F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CB878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4FD6D9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0E54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BA5A9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69C2D6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5B1B55FE">
      <w:pPr>
        <w:rPr>
          <w:rFonts w:hint="eastAsia"/>
          <w:lang w:val="en-US" w:eastAsia="zh-CN"/>
        </w:rPr>
      </w:pPr>
    </w:p>
    <w:p w14:paraId="5914F380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75" w:name="_Toc27165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读5分钟数据</w:t>
      </w:r>
      <w:bookmarkEnd w:id="75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21452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75DDB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6F582C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5DDAA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54521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3164F4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、红外转串口线、平台</w:t>
            </w:r>
          </w:p>
        </w:tc>
      </w:tr>
      <w:tr w14:paraId="44A7B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38217B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65D4DD5D">
            <w:pPr>
              <w:keepNext w:val="0"/>
              <w:keepLines w:val="0"/>
              <w:pageBreakBefore w:val="0"/>
              <w:widowControl/>
              <w:numPr>
                <w:ilvl w:val="0"/>
                <w:numId w:val="4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打开红外工具，打开串口；</w:t>
            </w:r>
          </w:p>
          <w:p w14:paraId="2131DD46">
            <w:pPr>
              <w:keepNext w:val="0"/>
              <w:keepLines w:val="0"/>
              <w:pageBreakBefore w:val="0"/>
              <w:widowControl/>
              <w:numPr>
                <w:ilvl w:val="0"/>
                <w:numId w:val="4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在读取数据栏中，单击读5分钟数据</w:t>
            </w:r>
          </w:p>
          <w:p w14:paraId="43A12066">
            <w:pPr>
              <w:keepNext w:val="0"/>
              <w:keepLines w:val="0"/>
              <w:pageBreakBefore w:val="0"/>
              <w:widowControl/>
              <w:numPr>
                <w:ilvl w:val="0"/>
                <w:numId w:val="4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使用小磁铁触发（液晶屏右下角触发5秒），水表模块进行主动上传数据</w:t>
            </w:r>
          </w:p>
          <w:p w14:paraId="056E92E0">
            <w:pPr>
              <w:keepNext w:val="0"/>
              <w:keepLines w:val="0"/>
              <w:pageBreakBefore w:val="0"/>
              <w:widowControl/>
              <w:numPr>
                <w:ilvl w:val="0"/>
                <w:numId w:val="4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观察“平台”-数据读取查询-设备5分钟密集数据中，查看数据是否正常上报。</w:t>
            </w:r>
          </w:p>
        </w:tc>
      </w:tr>
      <w:tr w14:paraId="21ED6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39841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612302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91D1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6ED5B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5782E0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A317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E980C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274E03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06858183">
      <w:pPr>
        <w:rPr>
          <w:rFonts w:hint="eastAsia"/>
          <w:lang w:val="en-US" w:eastAsia="zh-CN"/>
        </w:rPr>
      </w:pPr>
    </w:p>
    <w:p w14:paraId="078A5FE3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76" w:name="_Toc19798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读日志数据</w:t>
      </w:r>
      <w:bookmarkEnd w:id="76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2EACE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B986B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4C9578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1A0BA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61D19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2BDA9B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、红外转串口线、平台</w:t>
            </w:r>
          </w:p>
        </w:tc>
      </w:tr>
      <w:tr w14:paraId="4F050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D73F5A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3311FFF3">
            <w:pPr>
              <w:keepNext w:val="0"/>
              <w:keepLines w:val="0"/>
              <w:pageBreakBefore w:val="0"/>
              <w:widowControl/>
              <w:numPr>
                <w:ilvl w:val="0"/>
                <w:numId w:val="4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打开红外工具，打开串口；</w:t>
            </w:r>
          </w:p>
          <w:p w14:paraId="518E7821">
            <w:pPr>
              <w:keepNext w:val="0"/>
              <w:keepLines w:val="0"/>
              <w:pageBreakBefore w:val="0"/>
              <w:widowControl/>
              <w:numPr>
                <w:ilvl w:val="0"/>
                <w:numId w:val="4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在读取数据栏中，读日志数据；</w:t>
            </w:r>
          </w:p>
          <w:p w14:paraId="276708CD">
            <w:pPr>
              <w:keepNext w:val="0"/>
              <w:keepLines w:val="0"/>
              <w:pageBreakBefore w:val="0"/>
              <w:widowControl/>
              <w:numPr>
                <w:ilvl w:val="0"/>
                <w:numId w:val="4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使用小磁铁触发（液晶屏右下角触发5秒），水表模块进行主动上传数据</w:t>
            </w:r>
          </w:p>
          <w:p w14:paraId="3EC094BA">
            <w:pPr>
              <w:keepNext w:val="0"/>
              <w:keepLines w:val="0"/>
              <w:pageBreakBefore w:val="0"/>
              <w:widowControl/>
              <w:numPr>
                <w:ilvl w:val="0"/>
                <w:numId w:val="4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观察“平台”-数据读取查询-设备日志数据中，查看数据是否正常上报。</w:t>
            </w:r>
          </w:p>
        </w:tc>
      </w:tr>
      <w:tr w14:paraId="67C35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E88D7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480555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34B8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58921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555939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36DB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9BFD3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426EFA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5EC477E8">
      <w:pPr>
        <w:rPr>
          <w:rFonts w:hint="eastAsia"/>
          <w:lang w:val="en-US" w:eastAsia="zh-CN"/>
        </w:rPr>
      </w:pPr>
    </w:p>
    <w:p w14:paraId="1E9992EF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77" w:name="_Toc13310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读表状态</w:t>
      </w:r>
      <w:bookmarkEnd w:id="77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5A5B4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AEC36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6BD5AA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280CA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2EFA2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1DB102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、红外转串口线、平台</w:t>
            </w:r>
          </w:p>
        </w:tc>
      </w:tr>
      <w:tr w14:paraId="21BD1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0D166F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2D7663ED">
            <w:pPr>
              <w:keepNext w:val="0"/>
              <w:keepLines w:val="0"/>
              <w:pageBreakBefore w:val="0"/>
              <w:widowControl/>
              <w:numPr>
                <w:ilvl w:val="0"/>
                <w:numId w:val="4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数据显示在下方状态栏里面</w:t>
            </w:r>
          </w:p>
        </w:tc>
      </w:tr>
      <w:tr w14:paraId="0E415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1AC28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10C2D9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26AF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88571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1EE210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2492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CEDCA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64BAB2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7989FBFF">
      <w:pPr>
        <w:pStyle w:val="3"/>
        <w:numPr>
          <w:ilvl w:val="1"/>
          <w:numId w:val="3"/>
        </w:numPr>
        <w:bidi w:val="0"/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</w:pPr>
      <w:bookmarkStart w:id="78" w:name="_Toc14648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设置</w:t>
      </w:r>
      <w:r>
        <w:rPr>
          <w:rFonts w:hint="default" w:ascii="Times New Roman" w:hAnsi="Times New Roman" w:cs="Times New Roman"/>
          <w:b/>
          <w:bCs/>
          <w:color w:val="000000"/>
          <w:lang w:val="en-US" w:eastAsia="zh-CN"/>
        </w:rPr>
        <w:t>表端开始升级</w:t>
      </w:r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、升级包及完成没有对应界面内容；</w:t>
      </w:r>
      <w:bookmarkEnd w:id="78"/>
    </w:p>
    <w:p w14:paraId="697797A9">
      <w:pPr>
        <w:rPr>
          <w:rFonts w:hint="eastAsia"/>
          <w:lang w:val="en-US" w:eastAsia="zh-CN"/>
        </w:rPr>
      </w:pPr>
    </w:p>
    <w:p w14:paraId="40B65BF7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lang w:val="en-US" w:eastAsia="zh-CN"/>
        </w:rPr>
      </w:pPr>
      <w:bookmarkStart w:id="79" w:name="_Toc32615"/>
      <w:r>
        <w:rPr>
          <w:rFonts w:hint="eastAsia"/>
          <w:lang w:val="en-US" w:eastAsia="zh-CN"/>
        </w:rPr>
        <w:t>液晶显示测试</w:t>
      </w:r>
      <w:bookmarkEnd w:id="79"/>
    </w:p>
    <w:p w14:paraId="65F2EDE2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80" w:name="_Toc26361"/>
      <w:r>
        <w:rPr>
          <w:rFonts w:hint="eastAsia"/>
          <w:lang w:val="en-US" w:eastAsia="zh-CN"/>
        </w:rPr>
        <w:t>上电全显</w:t>
      </w:r>
      <w:bookmarkEnd w:id="80"/>
    </w:p>
    <w:p w14:paraId="15553325">
      <w:pPr>
        <w:pStyle w:val="3"/>
        <w:numPr>
          <w:ilvl w:val="1"/>
          <w:numId w:val="3"/>
        </w:numPr>
        <w:bidi w:val="0"/>
        <w:rPr>
          <w:rFonts w:hint="default"/>
          <w:lang w:val="en-US" w:eastAsia="zh-CN"/>
        </w:rPr>
      </w:pPr>
      <w:bookmarkStart w:id="81" w:name="_Toc3798"/>
      <w:r>
        <w:rPr>
          <w:rFonts w:hint="eastAsia"/>
          <w:lang w:val="en-US" w:eastAsia="zh-CN"/>
        </w:rPr>
        <w:t>磁铁翻屏</w:t>
      </w:r>
      <w:bookmarkEnd w:id="81"/>
    </w:p>
    <w:p w14:paraId="6DD6CFDA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5.3 手动触发上报  pass提示 ，上传过程中，信号图标变动。</w:t>
      </w:r>
    </w:p>
    <w:p w14:paraId="1501B92B">
      <w:pPr>
        <w:rPr>
          <w:rFonts w:hint="default"/>
          <w:lang w:val="en-US" w:eastAsia="zh-CN"/>
        </w:rPr>
      </w:pPr>
    </w:p>
    <w:p w14:paraId="2B0910F8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highlight w:val="none"/>
          <w:lang w:val="en-US" w:eastAsia="zh-CN"/>
        </w:rPr>
      </w:pPr>
      <w:bookmarkStart w:id="82" w:name="_Toc5298"/>
      <w:r>
        <w:rPr>
          <w:rFonts w:hint="eastAsia"/>
          <w:highlight w:val="none"/>
          <w:lang w:val="en-US" w:eastAsia="zh-CN"/>
        </w:rPr>
        <w:t>计量测试</w:t>
      </w:r>
      <w:bookmarkEnd w:id="82"/>
    </w:p>
    <w:p w14:paraId="325935A1">
      <w:pPr>
        <w:pStyle w:val="3"/>
        <w:numPr>
          <w:ilvl w:val="1"/>
          <w:numId w:val="3"/>
        </w:numPr>
        <w:bidi w:val="0"/>
        <w:rPr>
          <w:rFonts w:hint="eastAsia"/>
          <w:highlight w:val="none"/>
          <w:lang w:val="en-US" w:eastAsia="zh-CN"/>
        </w:rPr>
      </w:pPr>
      <w:bookmarkStart w:id="83" w:name="_Toc32566"/>
      <w:r>
        <w:rPr>
          <w:rFonts w:hint="eastAsia"/>
          <w:highlight w:val="none"/>
          <w:lang w:val="en-US" w:eastAsia="zh-CN"/>
        </w:rPr>
        <w:t>检表测试</w:t>
      </w:r>
      <w:bookmarkEnd w:id="83"/>
    </w:p>
    <w:p w14:paraId="18051C12">
      <w:pPr>
        <w:rPr>
          <w:rFonts w:hint="eastAsia"/>
          <w:lang w:val="en-US" w:eastAsia="zh-CN"/>
        </w:rPr>
      </w:pPr>
    </w:p>
    <w:p w14:paraId="482113AA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lang w:val="en-US" w:eastAsia="zh-CN"/>
        </w:rPr>
      </w:pPr>
      <w:bookmarkStart w:id="84" w:name="_Toc11792"/>
      <w:r>
        <w:rPr>
          <w:rFonts w:hint="eastAsia"/>
          <w:lang w:val="en-US" w:eastAsia="zh-CN"/>
        </w:rPr>
        <w:t>功耗测试</w:t>
      </w:r>
      <w:bookmarkEnd w:id="84"/>
    </w:p>
    <w:p w14:paraId="6766195A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85" w:name="_Toc28225"/>
      <w:r>
        <w:rPr>
          <w:rFonts w:hint="eastAsia"/>
          <w:lang w:val="en-US" w:eastAsia="zh-CN"/>
        </w:rPr>
        <w:t>低功耗测试</w:t>
      </w:r>
      <w:bookmarkEnd w:id="85"/>
    </w:p>
    <w:p w14:paraId="178EFB8B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86" w:name="_Toc16287"/>
      <w:r>
        <w:rPr>
          <w:rFonts w:hint="eastAsia"/>
          <w:lang w:val="en-US" w:eastAsia="zh-CN"/>
        </w:rPr>
        <w:t>信号中等时功耗测试</w:t>
      </w:r>
      <w:bookmarkEnd w:id="86"/>
    </w:p>
    <w:p w14:paraId="676342A2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87" w:name="_Toc27942"/>
      <w:r>
        <w:rPr>
          <w:rFonts w:hint="eastAsia"/>
          <w:lang w:val="en-US" w:eastAsia="zh-CN"/>
        </w:rPr>
        <w:t>无信号时NB功耗测试111</w:t>
      </w:r>
      <w:bookmarkEnd w:id="87"/>
    </w:p>
    <w:p w14:paraId="1248CEFD">
      <w:pPr>
        <w:rPr>
          <w:rFonts w:hint="eastAsia"/>
          <w:lang w:val="en-US" w:eastAsia="zh-CN"/>
        </w:rPr>
      </w:pPr>
    </w:p>
    <w:p w14:paraId="77DF35E2">
      <w:pPr>
        <w:rPr>
          <w:rFonts w:hint="eastAsia"/>
          <w:lang w:val="en-US" w:eastAsia="zh-CN"/>
        </w:rPr>
      </w:pPr>
    </w:p>
    <w:p w14:paraId="07FA6739">
      <w:pPr>
        <w:rPr>
          <w:rFonts w:hint="eastAsia"/>
          <w:lang w:val="en-US" w:eastAsia="zh-CN"/>
        </w:rPr>
      </w:pPr>
    </w:p>
    <w:p w14:paraId="4EDCA276">
      <w:pPr>
        <w:rPr>
          <w:rFonts w:hint="eastAsia"/>
          <w:lang w:val="en-US" w:eastAsia="zh-CN"/>
        </w:rPr>
      </w:pPr>
    </w:p>
    <w:p w14:paraId="7D71B48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sz w:val="13"/>
          <w:szCs w:val="13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YShuSongErKW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C48064">
    <w:pPr>
      <w:pStyle w:val="16"/>
      <w:jc w:val="center"/>
    </w:pPr>
  </w:p>
  <w:p w14:paraId="767F1F7A">
    <w:pPr>
      <w:pStyle w:val="1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295C49">
    <w:pPr>
      <w:pStyle w:val="1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34</w:t>
    </w:r>
    <w:r>
      <w:fldChar w:fldCharType="end"/>
    </w:r>
  </w:p>
  <w:p w14:paraId="3AC9B5BC">
    <w:pPr>
      <w:pStyle w:val="1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514F11"/>
    <w:multiLevelType w:val="singleLevel"/>
    <w:tmpl w:val="80514F1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82182B00"/>
    <w:multiLevelType w:val="multilevel"/>
    <w:tmpl w:val="82182B00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>
    <w:nsid w:val="8487AFA3"/>
    <w:multiLevelType w:val="multilevel"/>
    <w:tmpl w:val="8487AFA3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">
    <w:nsid w:val="90391BFE"/>
    <w:multiLevelType w:val="multilevel"/>
    <w:tmpl w:val="90391BFE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">
    <w:nsid w:val="9A012144"/>
    <w:multiLevelType w:val="multilevel"/>
    <w:tmpl w:val="9A01214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5">
    <w:nsid w:val="9A0F9552"/>
    <w:multiLevelType w:val="multilevel"/>
    <w:tmpl w:val="9A0F9552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6">
    <w:nsid w:val="A20D3461"/>
    <w:multiLevelType w:val="multilevel"/>
    <w:tmpl w:val="A20D346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7">
    <w:nsid w:val="A423D536"/>
    <w:multiLevelType w:val="multilevel"/>
    <w:tmpl w:val="A423D536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8">
    <w:nsid w:val="A5FC44A0"/>
    <w:multiLevelType w:val="multilevel"/>
    <w:tmpl w:val="A5FC44A0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9">
    <w:nsid w:val="A7DDD422"/>
    <w:multiLevelType w:val="multilevel"/>
    <w:tmpl w:val="A7DDD422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0">
    <w:nsid w:val="AE9DC99D"/>
    <w:multiLevelType w:val="multilevel"/>
    <w:tmpl w:val="AE9DC99D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1">
    <w:nsid w:val="AF859EE3"/>
    <w:multiLevelType w:val="multilevel"/>
    <w:tmpl w:val="AF859EE3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2">
    <w:nsid w:val="B556E1C8"/>
    <w:multiLevelType w:val="singleLevel"/>
    <w:tmpl w:val="B556E1C8"/>
    <w:lvl w:ilvl="0" w:tentative="0">
      <w:start w:val="1"/>
      <w:numFmt w:val="decimal"/>
      <w:suff w:val="nothing"/>
      <w:lvlText w:val="%1、"/>
      <w:lvlJc w:val="left"/>
    </w:lvl>
  </w:abstractNum>
  <w:abstractNum w:abstractNumId="13">
    <w:nsid w:val="BB157DAD"/>
    <w:multiLevelType w:val="singleLevel"/>
    <w:tmpl w:val="BB157DAD"/>
    <w:lvl w:ilvl="0" w:tentative="0">
      <w:start w:val="1"/>
      <w:numFmt w:val="decimal"/>
      <w:suff w:val="nothing"/>
      <w:lvlText w:val="%1、"/>
      <w:lvlJc w:val="left"/>
    </w:lvl>
  </w:abstractNum>
  <w:abstractNum w:abstractNumId="14">
    <w:nsid w:val="BD10FC1D"/>
    <w:multiLevelType w:val="multilevel"/>
    <w:tmpl w:val="BD10FC1D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5">
    <w:nsid w:val="C876711C"/>
    <w:multiLevelType w:val="singleLevel"/>
    <w:tmpl w:val="C876711C"/>
    <w:lvl w:ilvl="0" w:tentative="0">
      <w:start w:val="1"/>
      <w:numFmt w:val="decimal"/>
      <w:suff w:val="nothing"/>
      <w:lvlText w:val="%1、"/>
      <w:lvlJc w:val="left"/>
    </w:lvl>
  </w:abstractNum>
  <w:abstractNum w:abstractNumId="16">
    <w:nsid w:val="CB13C54A"/>
    <w:multiLevelType w:val="multilevel"/>
    <w:tmpl w:val="CB13C54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7">
    <w:nsid w:val="CCDD9F07"/>
    <w:multiLevelType w:val="multilevel"/>
    <w:tmpl w:val="CCDD9F0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8">
    <w:nsid w:val="D54ED382"/>
    <w:multiLevelType w:val="singleLevel"/>
    <w:tmpl w:val="D54ED382"/>
    <w:lvl w:ilvl="0" w:tentative="0">
      <w:start w:val="1"/>
      <w:numFmt w:val="decimal"/>
      <w:suff w:val="nothing"/>
      <w:lvlText w:val="%1、"/>
      <w:lvlJc w:val="left"/>
    </w:lvl>
  </w:abstractNum>
  <w:abstractNum w:abstractNumId="19">
    <w:nsid w:val="D842A49C"/>
    <w:multiLevelType w:val="singleLevel"/>
    <w:tmpl w:val="D842A49C"/>
    <w:lvl w:ilvl="0" w:tentative="0">
      <w:start w:val="1"/>
      <w:numFmt w:val="decimal"/>
      <w:suff w:val="nothing"/>
      <w:lvlText w:val="%1、"/>
      <w:lvlJc w:val="left"/>
    </w:lvl>
  </w:abstractNum>
  <w:abstractNum w:abstractNumId="20">
    <w:nsid w:val="D964CE96"/>
    <w:multiLevelType w:val="multilevel"/>
    <w:tmpl w:val="D964CE96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1">
    <w:nsid w:val="E7E55988"/>
    <w:multiLevelType w:val="multilevel"/>
    <w:tmpl w:val="E7E55988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2">
    <w:nsid w:val="EEAD4370"/>
    <w:multiLevelType w:val="multilevel"/>
    <w:tmpl w:val="EEAD4370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3">
    <w:nsid w:val="F634113A"/>
    <w:multiLevelType w:val="multilevel"/>
    <w:tmpl w:val="F634113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4">
    <w:nsid w:val="FB2CD67C"/>
    <w:multiLevelType w:val="multilevel"/>
    <w:tmpl w:val="FB2CD67C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5">
    <w:nsid w:val="005126E4"/>
    <w:multiLevelType w:val="multilevel"/>
    <w:tmpl w:val="005126E4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6">
    <w:nsid w:val="11058AA3"/>
    <w:multiLevelType w:val="multilevel"/>
    <w:tmpl w:val="11058AA3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7">
    <w:nsid w:val="21860DC7"/>
    <w:multiLevelType w:val="multilevel"/>
    <w:tmpl w:val="21860DC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8">
    <w:nsid w:val="252DEBFB"/>
    <w:multiLevelType w:val="multilevel"/>
    <w:tmpl w:val="252DEBFB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9">
    <w:nsid w:val="372EB6AF"/>
    <w:multiLevelType w:val="multilevel"/>
    <w:tmpl w:val="372EB6AF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0">
    <w:nsid w:val="39A4B1AC"/>
    <w:multiLevelType w:val="multilevel"/>
    <w:tmpl w:val="39A4B1AC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1">
    <w:nsid w:val="3EAEAFD0"/>
    <w:multiLevelType w:val="multilevel"/>
    <w:tmpl w:val="3EAEAFD0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2">
    <w:nsid w:val="3ED5DE37"/>
    <w:multiLevelType w:val="multilevel"/>
    <w:tmpl w:val="3ED5DE37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3">
    <w:nsid w:val="45B2E4C3"/>
    <w:multiLevelType w:val="multilevel"/>
    <w:tmpl w:val="45B2E4C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4">
    <w:nsid w:val="49F8D022"/>
    <w:multiLevelType w:val="multilevel"/>
    <w:tmpl w:val="49F8D022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5">
    <w:nsid w:val="54562D1D"/>
    <w:multiLevelType w:val="multilevel"/>
    <w:tmpl w:val="54562D1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6">
    <w:nsid w:val="57A55AD5"/>
    <w:multiLevelType w:val="multilevel"/>
    <w:tmpl w:val="57A55AD5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7">
    <w:nsid w:val="58296BD6"/>
    <w:multiLevelType w:val="multilevel"/>
    <w:tmpl w:val="58296BD6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7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8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9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38">
    <w:nsid w:val="5AD6359E"/>
    <w:multiLevelType w:val="multilevel"/>
    <w:tmpl w:val="5AD6359E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9">
    <w:nsid w:val="66F977A0"/>
    <w:multiLevelType w:val="multilevel"/>
    <w:tmpl w:val="66F977A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0">
    <w:nsid w:val="687B0FA9"/>
    <w:multiLevelType w:val="multilevel"/>
    <w:tmpl w:val="687B0FA9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41">
    <w:nsid w:val="6A1D55B1"/>
    <w:multiLevelType w:val="multilevel"/>
    <w:tmpl w:val="6A1D55B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2">
    <w:nsid w:val="7546BDC5"/>
    <w:multiLevelType w:val="multilevel"/>
    <w:tmpl w:val="7546BDC5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3">
    <w:nsid w:val="76FDFB8F"/>
    <w:multiLevelType w:val="multilevel"/>
    <w:tmpl w:val="76FDFB8F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4">
    <w:nsid w:val="7F55D6BE"/>
    <w:multiLevelType w:val="multilevel"/>
    <w:tmpl w:val="7F55D6BE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5">
    <w:nsid w:val="7FEB8E96"/>
    <w:multiLevelType w:val="singleLevel"/>
    <w:tmpl w:val="7FEB8E9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7"/>
  </w:num>
  <w:num w:numId="2">
    <w:abstractNumId w:val="40"/>
  </w:num>
  <w:num w:numId="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5"/>
  </w:num>
  <w:num w:numId="5">
    <w:abstractNumId w:val="13"/>
  </w:num>
  <w:num w:numId="6">
    <w:abstractNumId w:val="19"/>
  </w:num>
  <w:num w:numId="7">
    <w:abstractNumId w:val="15"/>
  </w:num>
  <w:num w:numId="8">
    <w:abstractNumId w:val="0"/>
  </w:num>
  <w:num w:numId="9">
    <w:abstractNumId w:val="18"/>
  </w:num>
  <w:num w:numId="10">
    <w:abstractNumId w:val="12"/>
  </w:num>
  <w:num w:numId="11">
    <w:abstractNumId w:val="21"/>
  </w:num>
  <w:num w:numId="12">
    <w:abstractNumId w:val="4"/>
  </w:num>
  <w:num w:numId="13">
    <w:abstractNumId w:val="7"/>
  </w:num>
  <w:num w:numId="14">
    <w:abstractNumId w:val="41"/>
  </w:num>
  <w:num w:numId="15">
    <w:abstractNumId w:val="28"/>
  </w:num>
  <w:num w:numId="16">
    <w:abstractNumId w:val="39"/>
  </w:num>
  <w:num w:numId="17">
    <w:abstractNumId w:val="31"/>
  </w:num>
  <w:num w:numId="18">
    <w:abstractNumId w:val="27"/>
  </w:num>
  <w:num w:numId="19">
    <w:abstractNumId w:val="26"/>
  </w:num>
  <w:num w:numId="20">
    <w:abstractNumId w:val="6"/>
  </w:num>
  <w:num w:numId="21">
    <w:abstractNumId w:val="42"/>
  </w:num>
  <w:num w:numId="22">
    <w:abstractNumId w:val="17"/>
  </w:num>
  <w:num w:numId="23">
    <w:abstractNumId w:val="30"/>
  </w:num>
  <w:num w:numId="24">
    <w:abstractNumId w:val="14"/>
  </w:num>
  <w:num w:numId="25">
    <w:abstractNumId w:val="33"/>
  </w:num>
  <w:num w:numId="26">
    <w:abstractNumId w:val="34"/>
  </w:num>
  <w:num w:numId="27">
    <w:abstractNumId w:val="16"/>
  </w:num>
  <w:num w:numId="28">
    <w:abstractNumId w:val="8"/>
  </w:num>
  <w:num w:numId="29">
    <w:abstractNumId w:val="35"/>
  </w:num>
  <w:num w:numId="30">
    <w:abstractNumId w:val="22"/>
  </w:num>
  <w:num w:numId="31">
    <w:abstractNumId w:val="23"/>
  </w:num>
  <w:num w:numId="32">
    <w:abstractNumId w:val="10"/>
  </w:num>
  <w:num w:numId="33">
    <w:abstractNumId w:val="36"/>
  </w:num>
  <w:num w:numId="34">
    <w:abstractNumId w:val="38"/>
  </w:num>
  <w:num w:numId="35">
    <w:abstractNumId w:val="1"/>
  </w:num>
  <w:num w:numId="36">
    <w:abstractNumId w:val="11"/>
  </w:num>
  <w:num w:numId="37">
    <w:abstractNumId w:val="24"/>
  </w:num>
  <w:num w:numId="38">
    <w:abstractNumId w:val="2"/>
  </w:num>
  <w:num w:numId="39">
    <w:abstractNumId w:val="9"/>
  </w:num>
  <w:num w:numId="40">
    <w:abstractNumId w:val="32"/>
  </w:num>
  <w:num w:numId="41">
    <w:abstractNumId w:val="5"/>
  </w:num>
  <w:num w:numId="42">
    <w:abstractNumId w:val="20"/>
  </w:num>
  <w:num w:numId="43">
    <w:abstractNumId w:val="43"/>
  </w:num>
  <w:num w:numId="44">
    <w:abstractNumId w:val="3"/>
  </w:num>
  <w:num w:numId="45">
    <w:abstractNumId w:val="44"/>
  </w:num>
  <w:num w:numId="46">
    <w:abstractNumId w:val="25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zYmUyZTNiOTkxNTczOWVkZjE5ZTkwYzVmOGQ2NzkifQ=="/>
  </w:docVars>
  <w:rsids>
    <w:rsidRoot w:val="001A1EE4"/>
    <w:rsid w:val="00012533"/>
    <w:rsid w:val="00016024"/>
    <w:rsid w:val="00032939"/>
    <w:rsid w:val="00032C2E"/>
    <w:rsid w:val="00035D5E"/>
    <w:rsid w:val="00040F64"/>
    <w:rsid w:val="0004676B"/>
    <w:rsid w:val="0005709E"/>
    <w:rsid w:val="00075DB2"/>
    <w:rsid w:val="000D5D5D"/>
    <w:rsid w:val="000E11B4"/>
    <w:rsid w:val="000E1864"/>
    <w:rsid w:val="000E28CC"/>
    <w:rsid w:val="000E69B4"/>
    <w:rsid w:val="000F01B8"/>
    <w:rsid w:val="000F0602"/>
    <w:rsid w:val="000F6528"/>
    <w:rsid w:val="00100E20"/>
    <w:rsid w:val="00111224"/>
    <w:rsid w:val="001114A1"/>
    <w:rsid w:val="0014632F"/>
    <w:rsid w:val="00150CD7"/>
    <w:rsid w:val="00151B15"/>
    <w:rsid w:val="0016076B"/>
    <w:rsid w:val="00160FAF"/>
    <w:rsid w:val="00166F42"/>
    <w:rsid w:val="001802AF"/>
    <w:rsid w:val="0018386D"/>
    <w:rsid w:val="00196091"/>
    <w:rsid w:val="001A1EE4"/>
    <w:rsid w:val="001A44A0"/>
    <w:rsid w:val="001B30F8"/>
    <w:rsid w:val="001B6AB8"/>
    <w:rsid w:val="001C2A80"/>
    <w:rsid w:val="001E066F"/>
    <w:rsid w:val="001E767D"/>
    <w:rsid w:val="001F59D5"/>
    <w:rsid w:val="00201013"/>
    <w:rsid w:val="00224B00"/>
    <w:rsid w:val="00244642"/>
    <w:rsid w:val="00281336"/>
    <w:rsid w:val="00291954"/>
    <w:rsid w:val="002957B9"/>
    <w:rsid w:val="002A2D55"/>
    <w:rsid w:val="002A3902"/>
    <w:rsid w:val="002B4CDD"/>
    <w:rsid w:val="002C0AA6"/>
    <w:rsid w:val="002C15E0"/>
    <w:rsid w:val="002D2375"/>
    <w:rsid w:val="002D5E67"/>
    <w:rsid w:val="002E1058"/>
    <w:rsid w:val="00306C08"/>
    <w:rsid w:val="00321515"/>
    <w:rsid w:val="00324DAE"/>
    <w:rsid w:val="0033579A"/>
    <w:rsid w:val="003370D5"/>
    <w:rsid w:val="003671FB"/>
    <w:rsid w:val="0038029A"/>
    <w:rsid w:val="00383DA9"/>
    <w:rsid w:val="003A5238"/>
    <w:rsid w:val="003A6843"/>
    <w:rsid w:val="003B2A68"/>
    <w:rsid w:val="003D305A"/>
    <w:rsid w:val="003F137D"/>
    <w:rsid w:val="003F310A"/>
    <w:rsid w:val="00402DD3"/>
    <w:rsid w:val="00404431"/>
    <w:rsid w:val="00420EBA"/>
    <w:rsid w:val="00426704"/>
    <w:rsid w:val="0043540B"/>
    <w:rsid w:val="00442E0A"/>
    <w:rsid w:val="004512BA"/>
    <w:rsid w:val="004530FC"/>
    <w:rsid w:val="00453AE6"/>
    <w:rsid w:val="00455B8D"/>
    <w:rsid w:val="00463011"/>
    <w:rsid w:val="00466AE4"/>
    <w:rsid w:val="00486C6E"/>
    <w:rsid w:val="00491296"/>
    <w:rsid w:val="004A6E06"/>
    <w:rsid w:val="004C4C78"/>
    <w:rsid w:val="004D636D"/>
    <w:rsid w:val="004D77DF"/>
    <w:rsid w:val="004F01AA"/>
    <w:rsid w:val="004F4C85"/>
    <w:rsid w:val="004F51D3"/>
    <w:rsid w:val="00515125"/>
    <w:rsid w:val="005205E6"/>
    <w:rsid w:val="00555FFA"/>
    <w:rsid w:val="00556358"/>
    <w:rsid w:val="00573A24"/>
    <w:rsid w:val="00576FA5"/>
    <w:rsid w:val="00577523"/>
    <w:rsid w:val="005910CB"/>
    <w:rsid w:val="005B44BB"/>
    <w:rsid w:val="005C12E0"/>
    <w:rsid w:val="005E702D"/>
    <w:rsid w:val="00604AD6"/>
    <w:rsid w:val="00621B8F"/>
    <w:rsid w:val="006347C8"/>
    <w:rsid w:val="00653FC2"/>
    <w:rsid w:val="00665963"/>
    <w:rsid w:val="00680B01"/>
    <w:rsid w:val="00681EDF"/>
    <w:rsid w:val="006821A0"/>
    <w:rsid w:val="006927C1"/>
    <w:rsid w:val="006A726B"/>
    <w:rsid w:val="006B5247"/>
    <w:rsid w:val="006C0FF7"/>
    <w:rsid w:val="006C36BF"/>
    <w:rsid w:val="006D0454"/>
    <w:rsid w:val="006D1EE3"/>
    <w:rsid w:val="006D2D97"/>
    <w:rsid w:val="006D624E"/>
    <w:rsid w:val="006E0ED7"/>
    <w:rsid w:val="006E6810"/>
    <w:rsid w:val="006F44FB"/>
    <w:rsid w:val="006F63DF"/>
    <w:rsid w:val="00700B82"/>
    <w:rsid w:val="0071454D"/>
    <w:rsid w:val="00732FB6"/>
    <w:rsid w:val="0073489A"/>
    <w:rsid w:val="00735E59"/>
    <w:rsid w:val="00737023"/>
    <w:rsid w:val="00737BDD"/>
    <w:rsid w:val="007542AE"/>
    <w:rsid w:val="00755046"/>
    <w:rsid w:val="00772549"/>
    <w:rsid w:val="00781AB6"/>
    <w:rsid w:val="00786385"/>
    <w:rsid w:val="007A51AD"/>
    <w:rsid w:val="007B2E58"/>
    <w:rsid w:val="007D1319"/>
    <w:rsid w:val="007D60AD"/>
    <w:rsid w:val="007E5A04"/>
    <w:rsid w:val="007F3B88"/>
    <w:rsid w:val="00814793"/>
    <w:rsid w:val="00815740"/>
    <w:rsid w:val="00815C67"/>
    <w:rsid w:val="00826A70"/>
    <w:rsid w:val="008541C0"/>
    <w:rsid w:val="00880616"/>
    <w:rsid w:val="00880BC0"/>
    <w:rsid w:val="0088207F"/>
    <w:rsid w:val="00882506"/>
    <w:rsid w:val="008921DC"/>
    <w:rsid w:val="0089391D"/>
    <w:rsid w:val="00894C0E"/>
    <w:rsid w:val="008A1E60"/>
    <w:rsid w:val="008E06A4"/>
    <w:rsid w:val="008E2E76"/>
    <w:rsid w:val="008E4B35"/>
    <w:rsid w:val="008E71B9"/>
    <w:rsid w:val="009079E6"/>
    <w:rsid w:val="00910028"/>
    <w:rsid w:val="009117A8"/>
    <w:rsid w:val="009153A0"/>
    <w:rsid w:val="00916573"/>
    <w:rsid w:val="00933336"/>
    <w:rsid w:val="00937F8D"/>
    <w:rsid w:val="00940635"/>
    <w:rsid w:val="00946D77"/>
    <w:rsid w:val="00952AA0"/>
    <w:rsid w:val="00952E9B"/>
    <w:rsid w:val="009547EF"/>
    <w:rsid w:val="009604EA"/>
    <w:rsid w:val="00973134"/>
    <w:rsid w:val="00980DA4"/>
    <w:rsid w:val="00983F77"/>
    <w:rsid w:val="00993A0A"/>
    <w:rsid w:val="009963C8"/>
    <w:rsid w:val="009A13C5"/>
    <w:rsid w:val="009C3CF1"/>
    <w:rsid w:val="009C7BC2"/>
    <w:rsid w:val="009E5337"/>
    <w:rsid w:val="00A20240"/>
    <w:rsid w:val="00A23106"/>
    <w:rsid w:val="00A342C2"/>
    <w:rsid w:val="00A36B0D"/>
    <w:rsid w:val="00A41435"/>
    <w:rsid w:val="00A460E5"/>
    <w:rsid w:val="00A52D39"/>
    <w:rsid w:val="00A55345"/>
    <w:rsid w:val="00A7255E"/>
    <w:rsid w:val="00A824AD"/>
    <w:rsid w:val="00A8689C"/>
    <w:rsid w:val="00A964CC"/>
    <w:rsid w:val="00AA2BCD"/>
    <w:rsid w:val="00AC3304"/>
    <w:rsid w:val="00AC613C"/>
    <w:rsid w:val="00B00B13"/>
    <w:rsid w:val="00B12D55"/>
    <w:rsid w:val="00B20370"/>
    <w:rsid w:val="00B226BE"/>
    <w:rsid w:val="00B22AC1"/>
    <w:rsid w:val="00B35D76"/>
    <w:rsid w:val="00B425B6"/>
    <w:rsid w:val="00B45534"/>
    <w:rsid w:val="00B47905"/>
    <w:rsid w:val="00B63C93"/>
    <w:rsid w:val="00B67091"/>
    <w:rsid w:val="00B724CA"/>
    <w:rsid w:val="00B86342"/>
    <w:rsid w:val="00BA1802"/>
    <w:rsid w:val="00BA7727"/>
    <w:rsid w:val="00BB2E2D"/>
    <w:rsid w:val="00BB34FE"/>
    <w:rsid w:val="00BB65C8"/>
    <w:rsid w:val="00BC1C35"/>
    <w:rsid w:val="00BD226C"/>
    <w:rsid w:val="00BE7606"/>
    <w:rsid w:val="00BF13B8"/>
    <w:rsid w:val="00BF4648"/>
    <w:rsid w:val="00C02C7F"/>
    <w:rsid w:val="00C1093B"/>
    <w:rsid w:val="00C4282B"/>
    <w:rsid w:val="00C64F1C"/>
    <w:rsid w:val="00C70190"/>
    <w:rsid w:val="00C71366"/>
    <w:rsid w:val="00C71840"/>
    <w:rsid w:val="00C82624"/>
    <w:rsid w:val="00C84480"/>
    <w:rsid w:val="00C878E6"/>
    <w:rsid w:val="00C96C81"/>
    <w:rsid w:val="00CA1FDE"/>
    <w:rsid w:val="00CB0606"/>
    <w:rsid w:val="00CB2BA5"/>
    <w:rsid w:val="00CB41BF"/>
    <w:rsid w:val="00CB4947"/>
    <w:rsid w:val="00CB68EC"/>
    <w:rsid w:val="00CC487E"/>
    <w:rsid w:val="00CC6107"/>
    <w:rsid w:val="00CE12C3"/>
    <w:rsid w:val="00CE5F86"/>
    <w:rsid w:val="00CF170A"/>
    <w:rsid w:val="00CF495B"/>
    <w:rsid w:val="00D03DE9"/>
    <w:rsid w:val="00D17D46"/>
    <w:rsid w:val="00D41716"/>
    <w:rsid w:val="00D7082B"/>
    <w:rsid w:val="00D70A1B"/>
    <w:rsid w:val="00D84249"/>
    <w:rsid w:val="00D85457"/>
    <w:rsid w:val="00D87697"/>
    <w:rsid w:val="00D90B0F"/>
    <w:rsid w:val="00D91266"/>
    <w:rsid w:val="00DA00A6"/>
    <w:rsid w:val="00DA2DC5"/>
    <w:rsid w:val="00DA64FB"/>
    <w:rsid w:val="00DB44CC"/>
    <w:rsid w:val="00DB460E"/>
    <w:rsid w:val="00DC6C25"/>
    <w:rsid w:val="00DE4580"/>
    <w:rsid w:val="00DF25AC"/>
    <w:rsid w:val="00E01653"/>
    <w:rsid w:val="00E12F3C"/>
    <w:rsid w:val="00E72244"/>
    <w:rsid w:val="00E73961"/>
    <w:rsid w:val="00E8481A"/>
    <w:rsid w:val="00E96437"/>
    <w:rsid w:val="00E97DF1"/>
    <w:rsid w:val="00EA4F5B"/>
    <w:rsid w:val="00EA553F"/>
    <w:rsid w:val="00EB5845"/>
    <w:rsid w:val="00EB7AAB"/>
    <w:rsid w:val="00EB7C11"/>
    <w:rsid w:val="00EC5600"/>
    <w:rsid w:val="00ED5A8C"/>
    <w:rsid w:val="00EE0D39"/>
    <w:rsid w:val="00EF1888"/>
    <w:rsid w:val="00EF5C0B"/>
    <w:rsid w:val="00F00AED"/>
    <w:rsid w:val="00F06077"/>
    <w:rsid w:val="00F12FB4"/>
    <w:rsid w:val="00F1303C"/>
    <w:rsid w:val="00F1610F"/>
    <w:rsid w:val="00F330DE"/>
    <w:rsid w:val="00F35458"/>
    <w:rsid w:val="00F61F4B"/>
    <w:rsid w:val="00F62346"/>
    <w:rsid w:val="00F62C6C"/>
    <w:rsid w:val="00F64FCD"/>
    <w:rsid w:val="00F65B71"/>
    <w:rsid w:val="00F80865"/>
    <w:rsid w:val="00F86C71"/>
    <w:rsid w:val="00FA13EC"/>
    <w:rsid w:val="00FB369D"/>
    <w:rsid w:val="00FB7ACE"/>
    <w:rsid w:val="00FC4F5A"/>
    <w:rsid w:val="00FD392F"/>
    <w:rsid w:val="00FE52B6"/>
    <w:rsid w:val="00FF7FD5"/>
    <w:rsid w:val="01027761"/>
    <w:rsid w:val="01A71C0E"/>
    <w:rsid w:val="01B666C0"/>
    <w:rsid w:val="01F80A87"/>
    <w:rsid w:val="02315D47"/>
    <w:rsid w:val="023F4A07"/>
    <w:rsid w:val="025F28B4"/>
    <w:rsid w:val="02777BFD"/>
    <w:rsid w:val="027D2D3A"/>
    <w:rsid w:val="0293255D"/>
    <w:rsid w:val="0334789D"/>
    <w:rsid w:val="034A01C3"/>
    <w:rsid w:val="035148F2"/>
    <w:rsid w:val="038A3960"/>
    <w:rsid w:val="03B10EED"/>
    <w:rsid w:val="03C03826"/>
    <w:rsid w:val="03C50E3C"/>
    <w:rsid w:val="03DF30D8"/>
    <w:rsid w:val="04812EBE"/>
    <w:rsid w:val="05290F57"/>
    <w:rsid w:val="054B5371"/>
    <w:rsid w:val="05535400"/>
    <w:rsid w:val="055724CC"/>
    <w:rsid w:val="05E0020A"/>
    <w:rsid w:val="0607573C"/>
    <w:rsid w:val="06127C3D"/>
    <w:rsid w:val="063F7C7B"/>
    <w:rsid w:val="06555457"/>
    <w:rsid w:val="06764670"/>
    <w:rsid w:val="067C19FC"/>
    <w:rsid w:val="06CE0008"/>
    <w:rsid w:val="07373DFF"/>
    <w:rsid w:val="074B354F"/>
    <w:rsid w:val="07524795"/>
    <w:rsid w:val="07854E5D"/>
    <w:rsid w:val="079B25E0"/>
    <w:rsid w:val="07D653C6"/>
    <w:rsid w:val="07DE24CD"/>
    <w:rsid w:val="07EF0236"/>
    <w:rsid w:val="07FD19BA"/>
    <w:rsid w:val="08065580"/>
    <w:rsid w:val="081133E0"/>
    <w:rsid w:val="08566507"/>
    <w:rsid w:val="089648A2"/>
    <w:rsid w:val="08A72DB3"/>
    <w:rsid w:val="08AE59AD"/>
    <w:rsid w:val="08E41D65"/>
    <w:rsid w:val="090A2F17"/>
    <w:rsid w:val="091E5277"/>
    <w:rsid w:val="0932487E"/>
    <w:rsid w:val="093A2A0F"/>
    <w:rsid w:val="093F2ABC"/>
    <w:rsid w:val="09640AE6"/>
    <w:rsid w:val="09646A02"/>
    <w:rsid w:val="096A04BC"/>
    <w:rsid w:val="0989582F"/>
    <w:rsid w:val="09B16437"/>
    <w:rsid w:val="09C1299A"/>
    <w:rsid w:val="09C33728"/>
    <w:rsid w:val="09E30437"/>
    <w:rsid w:val="0A0F2E11"/>
    <w:rsid w:val="0A456833"/>
    <w:rsid w:val="0A883A40"/>
    <w:rsid w:val="0A95202C"/>
    <w:rsid w:val="0B114967"/>
    <w:rsid w:val="0B25614D"/>
    <w:rsid w:val="0B7A4F70"/>
    <w:rsid w:val="0BB51797"/>
    <w:rsid w:val="0BD25CE6"/>
    <w:rsid w:val="0BE90522"/>
    <w:rsid w:val="0C2C7CAB"/>
    <w:rsid w:val="0C4C2659"/>
    <w:rsid w:val="0C711B61"/>
    <w:rsid w:val="0C8573BB"/>
    <w:rsid w:val="0D3E3AC5"/>
    <w:rsid w:val="0D8B27AF"/>
    <w:rsid w:val="0D9F5624"/>
    <w:rsid w:val="0DB8731C"/>
    <w:rsid w:val="0DBE38B4"/>
    <w:rsid w:val="0DCD2393"/>
    <w:rsid w:val="0E010CC3"/>
    <w:rsid w:val="0E0F1632"/>
    <w:rsid w:val="0E126E37"/>
    <w:rsid w:val="0E407A3D"/>
    <w:rsid w:val="0E494A2D"/>
    <w:rsid w:val="0E5A3F61"/>
    <w:rsid w:val="0E68386F"/>
    <w:rsid w:val="0E9E4764"/>
    <w:rsid w:val="0EB61AAE"/>
    <w:rsid w:val="0F130F2E"/>
    <w:rsid w:val="0F1D38DB"/>
    <w:rsid w:val="0F735BF1"/>
    <w:rsid w:val="0F9022FF"/>
    <w:rsid w:val="0FF860F6"/>
    <w:rsid w:val="0FFF110C"/>
    <w:rsid w:val="100E0482"/>
    <w:rsid w:val="10152804"/>
    <w:rsid w:val="1044591F"/>
    <w:rsid w:val="106F0166"/>
    <w:rsid w:val="11095B5C"/>
    <w:rsid w:val="11254CC9"/>
    <w:rsid w:val="119F2CCD"/>
    <w:rsid w:val="11FB023B"/>
    <w:rsid w:val="11FF376C"/>
    <w:rsid w:val="121A05A5"/>
    <w:rsid w:val="12211934"/>
    <w:rsid w:val="12555A81"/>
    <w:rsid w:val="12681311"/>
    <w:rsid w:val="127C300E"/>
    <w:rsid w:val="12B22DC8"/>
    <w:rsid w:val="12C751FF"/>
    <w:rsid w:val="12D469A6"/>
    <w:rsid w:val="13816095"/>
    <w:rsid w:val="138A5BED"/>
    <w:rsid w:val="139E260E"/>
    <w:rsid w:val="13AB6CBD"/>
    <w:rsid w:val="13DF3855"/>
    <w:rsid w:val="13F83926"/>
    <w:rsid w:val="142E0338"/>
    <w:rsid w:val="14AB3737"/>
    <w:rsid w:val="14C34F24"/>
    <w:rsid w:val="14D42A19"/>
    <w:rsid w:val="152F25BA"/>
    <w:rsid w:val="155E3DF4"/>
    <w:rsid w:val="15E50ECA"/>
    <w:rsid w:val="15EB1761"/>
    <w:rsid w:val="16181102"/>
    <w:rsid w:val="16551BAC"/>
    <w:rsid w:val="165731FF"/>
    <w:rsid w:val="167F4E7B"/>
    <w:rsid w:val="168D3A3C"/>
    <w:rsid w:val="16930926"/>
    <w:rsid w:val="16D12D12"/>
    <w:rsid w:val="16D42C63"/>
    <w:rsid w:val="16ED1BE3"/>
    <w:rsid w:val="16EF4101"/>
    <w:rsid w:val="172F62A1"/>
    <w:rsid w:val="175247EB"/>
    <w:rsid w:val="17596145"/>
    <w:rsid w:val="17F9AF07"/>
    <w:rsid w:val="18216B7B"/>
    <w:rsid w:val="18784E43"/>
    <w:rsid w:val="18AD7489"/>
    <w:rsid w:val="18D771F0"/>
    <w:rsid w:val="1912797C"/>
    <w:rsid w:val="192561AE"/>
    <w:rsid w:val="193F4C74"/>
    <w:rsid w:val="19521484"/>
    <w:rsid w:val="195D73A2"/>
    <w:rsid w:val="1978311D"/>
    <w:rsid w:val="19AF1F1B"/>
    <w:rsid w:val="1A554870"/>
    <w:rsid w:val="1A700FED"/>
    <w:rsid w:val="1A76845D"/>
    <w:rsid w:val="1AA11864"/>
    <w:rsid w:val="1ABA7CDE"/>
    <w:rsid w:val="1ADE4866"/>
    <w:rsid w:val="1AF71484"/>
    <w:rsid w:val="1B0B0FC5"/>
    <w:rsid w:val="1B505038"/>
    <w:rsid w:val="1B903686"/>
    <w:rsid w:val="1C1E5B27"/>
    <w:rsid w:val="1C1F2508"/>
    <w:rsid w:val="1C385D88"/>
    <w:rsid w:val="1C4050AC"/>
    <w:rsid w:val="1C47468D"/>
    <w:rsid w:val="1CBC34B1"/>
    <w:rsid w:val="1CD43891"/>
    <w:rsid w:val="1D6B43AB"/>
    <w:rsid w:val="1D6D402B"/>
    <w:rsid w:val="1D921938"/>
    <w:rsid w:val="1D9456B0"/>
    <w:rsid w:val="1E276524"/>
    <w:rsid w:val="1E617CA6"/>
    <w:rsid w:val="1E9A4F48"/>
    <w:rsid w:val="1EF81C6E"/>
    <w:rsid w:val="1F040613"/>
    <w:rsid w:val="1F7C5203"/>
    <w:rsid w:val="1FBBBE66"/>
    <w:rsid w:val="1FE64ECB"/>
    <w:rsid w:val="1FF40688"/>
    <w:rsid w:val="1FFDC8FC"/>
    <w:rsid w:val="2001411A"/>
    <w:rsid w:val="203D469B"/>
    <w:rsid w:val="21236B98"/>
    <w:rsid w:val="21470C8B"/>
    <w:rsid w:val="21513136"/>
    <w:rsid w:val="2181419D"/>
    <w:rsid w:val="21BA3905"/>
    <w:rsid w:val="21C347B6"/>
    <w:rsid w:val="226B7BC6"/>
    <w:rsid w:val="2282748D"/>
    <w:rsid w:val="22AE32B1"/>
    <w:rsid w:val="22BB548D"/>
    <w:rsid w:val="231B5634"/>
    <w:rsid w:val="232030F2"/>
    <w:rsid w:val="233C2FBE"/>
    <w:rsid w:val="23B834B4"/>
    <w:rsid w:val="24594F5D"/>
    <w:rsid w:val="247F6E0A"/>
    <w:rsid w:val="24AC4E1B"/>
    <w:rsid w:val="24E57F07"/>
    <w:rsid w:val="24EE1D3D"/>
    <w:rsid w:val="2519649B"/>
    <w:rsid w:val="252512E3"/>
    <w:rsid w:val="25316FC9"/>
    <w:rsid w:val="258009C8"/>
    <w:rsid w:val="25A95A70"/>
    <w:rsid w:val="26B9340C"/>
    <w:rsid w:val="276BD562"/>
    <w:rsid w:val="276C4FA7"/>
    <w:rsid w:val="277B72B3"/>
    <w:rsid w:val="27CA5F55"/>
    <w:rsid w:val="27CE5C62"/>
    <w:rsid w:val="28046D14"/>
    <w:rsid w:val="283425F5"/>
    <w:rsid w:val="284460E4"/>
    <w:rsid w:val="28833F3B"/>
    <w:rsid w:val="28942A08"/>
    <w:rsid w:val="28D252DE"/>
    <w:rsid w:val="28EA6CDC"/>
    <w:rsid w:val="290C07F0"/>
    <w:rsid w:val="2936586D"/>
    <w:rsid w:val="297B47B2"/>
    <w:rsid w:val="29E057D9"/>
    <w:rsid w:val="29FB0865"/>
    <w:rsid w:val="2A1E7AAD"/>
    <w:rsid w:val="2A3F1007"/>
    <w:rsid w:val="2A731ED7"/>
    <w:rsid w:val="2A783C63"/>
    <w:rsid w:val="2AC249CD"/>
    <w:rsid w:val="2B141BDE"/>
    <w:rsid w:val="2B161BD2"/>
    <w:rsid w:val="2B481888"/>
    <w:rsid w:val="2B7408CF"/>
    <w:rsid w:val="2B807273"/>
    <w:rsid w:val="2B8C3E6A"/>
    <w:rsid w:val="2BCF62C0"/>
    <w:rsid w:val="2BED2F82"/>
    <w:rsid w:val="2BFD2D73"/>
    <w:rsid w:val="2BFF463C"/>
    <w:rsid w:val="2C245E51"/>
    <w:rsid w:val="2C5D1AC1"/>
    <w:rsid w:val="2C714218"/>
    <w:rsid w:val="2C82701B"/>
    <w:rsid w:val="2CA67F3B"/>
    <w:rsid w:val="2CD843BB"/>
    <w:rsid w:val="2D002568"/>
    <w:rsid w:val="2D20584C"/>
    <w:rsid w:val="2DAE1436"/>
    <w:rsid w:val="2DB727C0"/>
    <w:rsid w:val="2DE33AEA"/>
    <w:rsid w:val="2E25055D"/>
    <w:rsid w:val="2E4F7F14"/>
    <w:rsid w:val="2E744143"/>
    <w:rsid w:val="2E8C5F2F"/>
    <w:rsid w:val="2EAB4607"/>
    <w:rsid w:val="2EB813E6"/>
    <w:rsid w:val="2EC36188"/>
    <w:rsid w:val="2EF642E0"/>
    <w:rsid w:val="2F25085E"/>
    <w:rsid w:val="2F350375"/>
    <w:rsid w:val="2F7B222C"/>
    <w:rsid w:val="2FD8767E"/>
    <w:rsid w:val="2FE80A81"/>
    <w:rsid w:val="300246FB"/>
    <w:rsid w:val="301F52AD"/>
    <w:rsid w:val="302D2A86"/>
    <w:rsid w:val="306C6018"/>
    <w:rsid w:val="308E41E1"/>
    <w:rsid w:val="30E85C48"/>
    <w:rsid w:val="31CB43B8"/>
    <w:rsid w:val="32004C6A"/>
    <w:rsid w:val="320358CC"/>
    <w:rsid w:val="326B5445"/>
    <w:rsid w:val="3288097B"/>
    <w:rsid w:val="32A73338"/>
    <w:rsid w:val="32B53CA7"/>
    <w:rsid w:val="32BA8CA6"/>
    <w:rsid w:val="331362FA"/>
    <w:rsid w:val="333644E1"/>
    <w:rsid w:val="333649ED"/>
    <w:rsid w:val="334943EF"/>
    <w:rsid w:val="335C05C6"/>
    <w:rsid w:val="33C1667B"/>
    <w:rsid w:val="33C66DBC"/>
    <w:rsid w:val="33CA5530"/>
    <w:rsid w:val="33FD8F88"/>
    <w:rsid w:val="340C0EF8"/>
    <w:rsid w:val="347816E4"/>
    <w:rsid w:val="34D36666"/>
    <w:rsid w:val="34F52A80"/>
    <w:rsid w:val="35150A2C"/>
    <w:rsid w:val="35487054"/>
    <w:rsid w:val="3555351F"/>
    <w:rsid w:val="35BC17F0"/>
    <w:rsid w:val="360B4637"/>
    <w:rsid w:val="3676199F"/>
    <w:rsid w:val="367D2D2D"/>
    <w:rsid w:val="3685438E"/>
    <w:rsid w:val="369342FF"/>
    <w:rsid w:val="36C329FE"/>
    <w:rsid w:val="36D30B9F"/>
    <w:rsid w:val="374B4FD5"/>
    <w:rsid w:val="375F2433"/>
    <w:rsid w:val="376D66C3"/>
    <w:rsid w:val="37920A5A"/>
    <w:rsid w:val="37997975"/>
    <w:rsid w:val="37CF580A"/>
    <w:rsid w:val="37DB688A"/>
    <w:rsid w:val="37E34BD0"/>
    <w:rsid w:val="37FB6A05"/>
    <w:rsid w:val="37FDC791"/>
    <w:rsid w:val="381B6DB3"/>
    <w:rsid w:val="384F4F6C"/>
    <w:rsid w:val="38B25361"/>
    <w:rsid w:val="38D40BFF"/>
    <w:rsid w:val="38F372D7"/>
    <w:rsid w:val="39094725"/>
    <w:rsid w:val="39396CB4"/>
    <w:rsid w:val="395024DF"/>
    <w:rsid w:val="395B3445"/>
    <w:rsid w:val="397D7CE3"/>
    <w:rsid w:val="39991780"/>
    <w:rsid w:val="39A5539B"/>
    <w:rsid w:val="39CE1AF2"/>
    <w:rsid w:val="3A4D9421"/>
    <w:rsid w:val="3A60099C"/>
    <w:rsid w:val="3A695377"/>
    <w:rsid w:val="3AB96A73"/>
    <w:rsid w:val="3B2B567D"/>
    <w:rsid w:val="3B6345BC"/>
    <w:rsid w:val="3B7364AD"/>
    <w:rsid w:val="3B8C57C0"/>
    <w:rsid w:val="3B984165"/>
    <w:rsid w:val="3B9D177C"/>
    <w:rsid w:val="3BCB0097"/>
    <w:rsid w:val="3BE47137"/>
    <w:rsid w:val="3BF2BEC3"/>
    <w:rsid w:val="3C0937F9"/>
    <w:rsid w:val="3D073351"/>
    <w:rsid w:val="3D197D45"/>
    <w:rsid w:val="3D600CB3"/>
    <w:rsid w:val="3D85696B"/>
    <w:rsid w:val="3DB6423B"/>
    <w:rsid w:val="3DB72FC9"/>
    <w:rsid w:val="3E021D6A"/>
    <w:rsid w:val="3E0E04B8"/>
    <w:rsid w:val="3E386E1C"/>
    <w:rsid w:val="3E42660A"/>
    <w:rsid w:val="3E5500EC"/>
    <w:rsid w:val="3E563D4B"/>
    <w:rsid w:val="3E6622F9"/>
    <w:rsid w:val="3E66679D"/>
    <w:rsid w:val="3E86299B"/>
    <w:rsid w:val="3EC51F9A"/>
    <w:rsid w:val="3ED76F60"/>
    <w:rsid w:val="3EE576C2"/>
    <w:rsid w:val="3FC97D74"/>
    <w:rsid w:val="40153FD6"/>
    <w:rsid w:val="401B7113"/>
    <w:rsid w:val="401E4EC4"/>
    <w:rsid w:val="401E7EB9"/>
    <w:rsid w:val="40AE7F87"/>
    <w:rsid w:val="40C10711"/>
    <w:rsid w:val="40F736DC"/>
    <w:rsid w:val="40FF130D"/>
    <w:rsid w:val="411B386E"/>
    <w:rsid w:val="419F644D"/>
    <w:rsid w:val="41CF4659"/>
    <w:rsid w:val="41D862AD"/>
    <w:rsid w:val="425B7C9B"/>
    <w:rsid w:val="429A07C3"/>
    <w:rsid w:val="430E4ECC"/>
    <w:rsid w:val="43317379"/>
    <w:rsid w:val="43454BD3"/>
    <w:rsid w:val="437234EE"/>
    <w:rsid w:val="438D20D6"/>
    <w:rsid w:val="43A20B98"/>
    <w:rsid w:val="43B25EB8"/>
    <w:rsid w:val="43BD6E5F"/>
    <w:rsid w:val="43BE3129"/>
    <w:rsid w:val="43E2627C"/>
    <w:rsid w:val="445D7CFA"/>
    <w:rsid w:val="44E624DA"/>
    <w:rsid w:val="44EA034F"/>
    <w:rsid w:val="44EB17AA"/>
    <w:rsid w:val="450E5498"/>
    <w:rsid w:val="45CF69D6"/>
    <w:rsid w:val="45D87F80"/>
    <w:rsid w:val="46033256"/>
    <w:rsid w:val="460437FD"/>
    <w:rsid w:val="46396545"/>
    <w:rsid w:val="467928F9"/>
    <w:rsid w:val="4683301F"/>
    <w:rsid w:val="468772B0"/>
    <w:rsid w:val="46944916"/>
    <w:rsid w:val="469D6AD4"/>
    <w:rsid w:val="46DE0780"/>
    <w:rsid w:val="46EE37D3"/>
    <w:rsid w:val="46F94898"/>
    <w:rsid w:val="470D3C59"/>
    <w:rsid w:val="47975DF6"/>
    <w:rsid w:val="48013092"/>
    <w:rsid w:val="48141018"/>
    <w:rsid w:val="48223734"/>
    <w:rsid w:val="48301FD6"/>
    <w:rsid w:val="483C53CF"/>
    <w:rsid w:val="483D231C"/>
    <w:rsid w:val="484D0086"/>
    <w:rsid w:val="485A1120"/>
    <w:rsid w:val="485D61C8"/>
    <w:rsid w:val="489A776F"/>
    <w:rsid w:val="48A00CF2"/>
    <w:rsid w:val="48B30318"/>
    <w:rsid w:val="48C7608A"/>
    <w:rsid w:val="48D15FB4"/>
    <w:rsid w:val="49107A31"/>
    <w:rsid w:val="491B40A1"/>
    <w:rsid w:val="493D70E8"/>
    <w:rsid w:val="496833C9"/>
    <w:rsid w:val="498A7063"/>
    <w:rsid w:val="49D56585"/>
    <w:rsid w:val="4A1470AD"/>
    <w:rsid w:val="4A1930E3"/>
    <w:rsid w:val="4A817F9B"/>
    <w:rsid w:val="4AC41483"/>
    <w:rsid w:val="4B157496"/>
    <w:rsid w:val="4B3C1EF6"/>
    <w:rsid w:val="4B44740D"/>
    <w:rsid w:val="4B9F6E4A"/>
    <w:rsid w:val="4BA916AB"/>
    <w:rsid w:val="4BB74194"/>
    <w:rsid w:val="4BCD39B7"/>
    <w:rsid w:val="4BCF79B5"/>
    <w:rsid w:val="4BFA22D2"/>
    <w:rsid w:val="4C1A464A"/>
    <w:rsid w:val="4C374C66"/>
    <w:rsid w:val="4C377978"/>
    <w:rsid w:val="4C7B3413"/>
    <w:rsid w:val="4CA5157B"/>
    <w:rsid w:val="4CAF7561"/>
    <w:rsid w:val="4CDB0356"/>
    <w:rsid w:val="4CF835CC"/>
    <w:rsid w:val="4CFD651E"/>
    <w:rsid w:val="4D01050E"/>
    <w:rsid w:val="4D1D58D5"/>
    <w:rsid w:val="4D722A68"/>
    <w:rsid w:val="4D8B1D7C"/>
    <w:rsid w:val="4DC80591"/>
    <w:rsid w:val="4DF27705"/>
    <w:rsid w:val="4E5B5CFD"/>
    <w:rsid w:val="4E612ADD"/>
    <w:rsid w:val="4E7F5CDC"/>
    <w:rsid w:val="4E8A004E"/>
    <w:rsid w:val="4EB15812"/>
    <w:rsid w:val="4EB23A4D"/>
    <w:rsid w:val="4ECE1C0B"/>
    <w:rsid w:val="4ED66DF1"/>
    <w:rsid w:val="4F304989"/>
    <w:rsid w:val="4F377051"/>
    <w:rsid w:val="4F6B59C1"/>
    <w:rsid w:val="4F6F4B71"/>
    <w:rsid w:val="4F824AB9"/>
    <w:rsid w:val="4FA34BB1"/>
    <w:rsid w:val="4FAC7D88"/>
    <w:rsid w:val="507B573E"/>
    <w:rsid w:val="50890512"/>
    <w:rsid w:val="509D64C0"/>
    <w:rsid w:val="50C26938"/>
    <w:rsid w:val="50C51101"/>
    <w:rsid w:val="50DB410A"/>
    <w:rsid w:val="50F934A0"/>
    <w:rsid w:val="51330760"/>
    <w:rsid w:val="52262073"/>
    <w:rsid w:val="524840C7"/>
    <w:rsid w:val="529C40E3"/>
    <w:rsid w:val="52B66476"/>
    <w:rsid w:val="52D049DF"/>
    <w:rsid w:val="52D25D57"/>
    <w:rsid w:val="52EC3CED"/>
    <w:rsid w:val="532076DA"/>
    <w:rsid w:val="536203AC"/>
    <w:rsid w:val="537B019D"/>
    <w:rsid w:val="53DD0E57"/>
    <w:rsid w:val="5416147E"/>
    <w:rsid w:val="543D7A42"/>
    <w:rsid w:val="54BC616C"/>
    <w:rsid w:val="54F14BBA"/>
    <w:rsid w:val="54F46459"/>
    <w:rsid w:val="551A4038"/>
    <w:rsid w:val="551B1C37"/>
    <w:rsid w:val="55332BBA"/>
    <w:rsid w:val="558C6691"/>
    <w:rsid w:val="55911EF9"/>
    <w:rsid w:val="559A3CEF"/>
    <w:rsid w:val="55A97243"/>
    <w:rsid w:val="55BF3937"/>
    <w:rsid w:val="560B5537"/>
    <w:rsid w:val="562B40FC"/>
    <w:rsid w:val="56814267"/>
    <w:rsid w:val="569C0B56"/>
    <w:rsid w:val="56A65B8D"/>
    <w:rsid w:val="56CF468A"/>
    <w:rsid w:val="57540469"/>
    <w:rsid w:val="57B10631"/>
    <w:rsid w:val="57E21DB8"/>
    <w:rsid w:val="58122CB8"/>
    <w:rsid w:val="58507E4A"/>
    <w:rsid w:val="585B4C4D"/>
    <w:rsid w:val="58F22CAF"/>
    <w:rsid w:val="59034EBC"/>
    <w:rsid w:val="591D35BC"/>
    <w:rsid w:val="59484013"/>
    <w:rsid w:val="59527BF2"/>
    <w:rsid w:val="598C3104"/>
    <w:rsid w:val="59945B14"/>
    <w:rsid w:val="599A2629"/>
    <w:rsid w:val="59D2488F"/>
    <w:rsid w:val="59D30FAC"/>
    <w:rsid w:val="59DE4C2F"/>
    <w:rsid w:val="5A1B7FE4"/>
    <w:rsid w:val="5A603224"/>
    <w:rsid w:val="5AF463F0"/>
    <w:rsid w:val="5B0E60D7"/>
    <w:rsid w:val="5B4E408F"/>
    <w:rsid w:val="5C052CF9"/>
    <w:rsid w:val="5C4F36D8"/>
    <w:rsid w:val="5C5F065B"/>
    <w:rsid w:val="5C683FC9"/>
    <w:rsid w:val="5C6E3CC0"/>
    <w:rsid w:val="5C753E74"/>
    <w:rsid w:val="5C8833E1"/>
    <w:rsid w:val="5CEE19DF"/>
    <w:rsid w:val="5CF54B1C"/>
    <w:rsid w:val="5D335644"/>
    <w:rsid w:val="5D3843A5"/>
    <w:rsid w:val="5DA34AD5"/>
    <w:rsid w:val="5DE71FE5"/>
    <w:rsid w:val="5E1C674F"/>
    <w:rsid w:val="5E287173"/>
    <w:rsid w:val="5E735867"/>
    <w:rsid w:val="5EB84053"/>
    <w:rsid w:val="5F1F7379"/>
    <w:rsid w:val="5F3538F6"/>
    <w:rsid w:val="5F804FE7"/>
    <w:rsid w:val="5FBA879D"/>
    <w:rsid w:val="5FBF517E"/>
    <w:rsid w:val="5FF4555F"/>
    <w:rsid w:val="60196D73"/>
    <w:rsid w:val="601E082E"/>
    <w:rsid w:val="602816AC"/>
    <w:rsid w:val="60427493"/>
    <w:rsid w:val="609D5BF6"/>
    <w:rsid w:val="611F660B"/>
    <w:rsid w:val="61357FDA"/>
    <w:rsid w:val="615D5386"/>
    <w:rsid w:val="6170330B"/>
    <w:rsid w:val="61AB4343"/>
    <w:rsid w:val="61AE5BE1"/>
    <w:rsid w:val="61CE1DDF"/>
    <w:rsid w:val="61FC06FB"/>
    <w:rsid w:val="622814F0"/>
    <w:rsid w:val="624502F4"/>
    <w:rsid w:val="626316C7"/>
    <w:rsid w:val="626501D7"/>
    <w:rsid w:val="63144A9E"/>
    <w:rsid w:val="632B0BF1"/>
    <w:rsid w:val="634B7B8C"/>
    <w:rsid w:val="63964B41"/>
    <w:rsid w:val="639A2821"/>
    <w:rsid w:val="63B53257"/>
    <w:rsid w:val="63E43B3C"/>
    <w:rsid w:val="64244E7C"/>
    <w:rsid w:val="64C71494"/>
    <w:rsid w:val="64E262CE"/>
    <w:rsid w:val="65011CE3"/>
    <w:rsid w:val="65336B29"/>
    <w:rsid w:val="653D52B2"/>
    <w:rsid w:val="65491EA9"/>
    <w:rsid w:val="654C7BEB"/>
    <w:rsid w:val="65842EE1"/>
    <w:rsid w:val="658E1FB1"/>
    <w:rsid w:val="659214BE"/>
    <w:rsid w:val="659245F2"/>
    <w:rsid w:val="65D20EA8"/>
    <w:rsid w:val="65E16585"/>
    <w:rsid w:val="65E6594A"/>
    <w:rsid w:val="6623094C"/>
    <w:rsid w:val="667B0788"/>
    <w:rsid w:val="66864FBA"/>
    <w:rsid w:val="6687673C"/>
    <w:rsid w:val="66CC3FBC"/>
    <w:rsid w:val="66E75FE7"/>
    <w:rsid w:val="67191D4F"/>
    <w:rsid w:val="6736645D"/>
    <w:rsid w:val="675B3901"/>
    <w:rsid w:val="677872F7"/>
    <w:rsid w:val="67BA708E"/>
    <w:rsid w:val="67F0485E"/>
    <w:rsid w:val="67FA1B80"/>
    <w:rsid w:val="67FBD2BB"/>
    <w:rsid w:val="68142C42"/>
    <w:rsid w:val="681A7B2C"/>
    <w:rsid w:val="68213F33"/>
    <w:rsid w:val="686E0428"/>
    <w:rsid w:val="687A3291"/>
    <w:rsid w:val="688431F8"/>
    <w:rsid w:val="689111B0"/>
    <w:rsid w:val="68AB2E7A"/>
    <w:rsid w:val="68D777CC"/>
    <w:rsid w:val="68EC14C9"/>
    <w:rsid w:val="68FF2700"/>
    <w:rsid w:val="69007ECB"/>
    <w:rsid w:val="69286279"/>
    <w:rsid w:val="693B3D95"/>
    <w:rsid w:val="69AB37A6"/>
    <w:rsid w:val="6A026A5C"/>
    <w:rsid w:val="6A10568B"/>
    <w:rsid w:val="6A2E0CFA"/>
    <w:rsid w:val="6A51101C"/>
    <w:rsid w:val="6A5608A9"/>
    <w:rsid w:val="6A746944"/>
    <w:rsid w:val="6A7A2B04"/>
    <w:rsid w:val="6A7C1691"/>
    <w:rsid w:val="6A8D0A8A"/>
    <w:rsid w:val="6AC65D4A"/>
    <w:rsid w:val="6ACF2E50"/>
    <w:rsid w:val="6AD40467"/>
    <w:rsid w:val="6AD42390"/>
    <w:rsid w:val="6AD95A7D"/>
    <w:rsid w:val="6B00125C"/>
    <w:rsid w:val="6B447F16"/>
    <w:rsid w:val="6B46BA52"/>
    <w:rsid w:val="6B673089"/>
    <w:rsid w:val="6BCD4935"/>
    <w:rsid w:val="6C225202"/>
    <w:rsid w:val="6C5775A1"/>
    <w:rsid w:val="6D9F7164"/>
    <w:rsid w:val="6DB87620"/>
    <w:rsid w:val="6DCF13B9"/>
    <w:rsid w:val="6DEC1F6B"/>
    <w:rsid w:val="6E117C17"/>
    <w:rsid w:val="6E3E713F"/>
    <w:rsid w:val="6E494CC8"/>
    <w:rsid w:val="6E775CD9"/>
    <w:rsid w:val="6E7D0E15"/>
    <w:rsid w:val="6EA55CE9"/>
    <w:rsid w:val="6EC560E5"/>
    <w:rsid w:val="6ECE536B"/>
    <w:rsid w:val="6EE45869"/>
    <w:rsid w:val="6EE53863"/>
    <w:rsid w:val="6EED5F9B"/>
    <w:rsid w:val="6F0B6421"/>
    <w:rsid w:val="6F1D0466"/>
    <w:rsid w:val="6F4E44F1"/>
    <w:rsid w:val="6F902885"/>
    <w:rsid w:val="6FA7614A"/>
    <w:rsid w:val="6FA83C70"/>
    <w:rsid w:val="6FB82050"/>
    <w:rsid w:val="6FBE16E5"/>
    <w:rsid w:val="6FCF38F2"/>
    <w:rsid w:val="6FFF2A8B"/>
    <w:rsid w:val="70776CBE"/>
    <w:rsid w:val="709D5B77"/>
    <w:rsid w:val="70A703CB"/>
    <w:rsid w:val="70C2375B"/>
    <w:rsid w:val="70D54F38"/>
    <w:rsid w:val="70E605BB"/>
    <w:rsid w:val="70FF5B11"/>
    <w:rsid w:val="713E488C"/>
    <w:rsid w:val="71551BD5"/>
    <w:rsid w:val="71557E27"/>
    <w:rsid w:val="716D02F7"/>
    <w:rsid w:val="71723CBD"/>
    <w:rsid w:val="72200435"/>
    <w:rsid w:val="72282939"/>
    <w:rsid w:val="72A669EB"/>
    <w:rsid w:val="732D4BB8"/>
    <w:rsid w:val="737711A4"/>
    <w:rsid w:val="73B40E35"/>
    <w:rsid w:val="73D27318"/>
    <w:rsid w:val="73F708E9"/>
    <w:rsid w:val="74257F85"/>
    <w:rsid w:val="74AE3889"/>
    <w:rsid w:val="74FC2A25"/>
    <w:rsid w:val="75687E97"/>
    <w:rsid w:val="75693EA1"/>
    <w:rsid w:val="7569E4AC"/>
    <w:rsid w:val="75AD18C6"/>
    <w:rsid w:val="75C537CD"/>
    <w:rsid w:val="75F145C2"/>
    <w:rsid w:val="75F5476F"/>
    <w:rsid w:val="76053BCA"/>
    <w:rsid w:val="764A3CD3"/>
    <w:rsid w:val="76516E0F"/>
    <w:rsid w:val="768DA492"/>
    <w:rsid w:val="76B64EDB"/>
    <w:rsid w:val="76BC1614"/>
    <w:rsid w:val="76FD2AF3"/>
    <w:rsid w:val="77493F8A"/>
    <w:rsid w:val="777976C2"/>
    <w:rsid w:val="77B42785"/>
    <w:rsid w:val="77BF40F8"/>
    <w:rsid w:val="77FEBED7"/>
    <w:rsid w:val="78212811"/>
    <w:rsid w:val="78263FA6"/>
    <w:rsid w:val="784B358F"/>
    <w:rsid w:val="7878384E"/>
    <w:rsid w:val="78986F77"/>
    <w:rsid w:val="78AE630B"/>
    <w:rsid w:val="78C57641"/>
    <w:rsid w:val="79426EE3"/>
    <w:rsid w:val="794B401A"/>
    <w:rsid w:val="796230E1"/>
    <w:rsid w:val="79625133"/>
    <w:rsid w:val="79AE1DFE"/>
    <w:rsid w:val="79DD5076"/>
    <w:rsid w:val="79E7330D"/>
    <w:rsid w:val="79E816E6"/>
    <w:rsid w:val="7A2D7B93"/>
    <w:rsid w:val="7A407E45"/>
    <w:rsid w:val="7AC31DEF"/>
    <w:rsid w:val="7AD3647C"/>
    <w:rsid w:val="7B103271"/>
    <w:rsid w:val="7B205002"/>
    <w:rsid w:val="7B2166B9"/>
    <w:rsid w:val="7B5A516D"/>
    <w:rsid w:val="7B713AB0"/>
    <w:rsid w:val="7B8F3A15"/>
    <w:rsid w:val="7B96B7A4"/>
    <w:rsid w:val="7BBA3910"/>
    <w:rsid w:val="7BC167E5"/>
    <w:rsid w:val="7BE61DA8"/>
    <w:rsid w:val="7BED0A30"/>
    <w:rsid w:val="7C0C5586"/>
    <w:rsid w:val="7C961A20"/>
    <w:rsid w:val="7CA44C9A"/>
    <w:rsid w:val="7CC78F41"/>
    <w:rsid w:val="7D3EFA27"/>
    <w:rsid w:val="7DBFF408"/>
    <w:rsid w:val="7DD98303"/>
    <w:rsid w:val="7E156974"/>
    <w:rsid w:val="7E1A3F8B"/>
    <w:rsid w:val="7E45163A"/>
    <w:rsid w:val="7E4F2F5A"/>
    <w:rsid w:val="7ECB1729"/>
    <w:rsid w:val="7EEF0FC6"/>
    <w:rsid w:val="7F392B36"/>
    <w:rsid w:val="7F4C0ABC"/>
    <w:rsid w:val="7F5B2AAD"/>
    <w:rsid w:val="7F77688E"/>
    <w:rsid w:val="7F7E33DA"/>
    <w:rsid w:val="7F9E0BEB"/>
    <w:rsid w:val="7FA702CA"/>
    <w:rsid w:val="7FD0B6D8"/>
    <w:rsid w:val="7FDF4F36"/>
    <w:rsid w:val="7FE5681A"/>
    <w:rsid w:val="7FEEDA9F"/>
    <w:rsid w:val="93FFAFD4"/>
    <w:rsid w:val="AFFB2BCD"/>
    <w:rsid w:val="B6CEB596"/>
    <w:rsid w:val="B6EB6C7D"/>
    <w:rsid w:val="B7FFB133"/>
    <w:rsid w:val="BFBFDA19"/>
    <w:rsid w:val="BFFFC70E"/>
    <w:rsid w:val="CFAFB3C7"/>
    <w:rsid w:val="D84B4557"/>
    <w:rsid w:val="DBF7F7DD"/>
    <w:rsid w:val="DCD72ECA"/>
    <w:rsid w:val="DDFD2B63"/>
    <w:rsid w:val="DE9BBF13"/>
    <w:rsid w:val="DF2FCC9D"/>
    <w:rsid w:val="DFBFCB00"/>
    <w:rsid w:val="E39FFC69"/>
    <w:rsid w:val="EBDD6624"/>
    <w:rsid w:val="EDEF851B"/>
    <w:rsid w:val="EE6D26A2"/>
    <w:rsid w:val="EEFB992D"/>
    <w:rsid w:val="EF45DA02"/>
    <w:rsid w:val="EF519CD7"/>
    <w:rsid w:val="F4DF53D4"/>
    <w:rsid w:val="F6DFB2FB"/>
    <w:rsid w:val="F8DD5E20"/>
    <w:rsid w:val="F9FFBB12"/>
    <w:rsid w:val="FBB76932"/>
    <w:rsid w:val="FCBFB292"/>
    <w:rsid w:val="FCE1F897"/>
    <w:rsid w:val="FDAE44A0"/>
    <w:rsid w:val="FDE3D3AF"/>
    <w:rsid w:val="FEBF5C25"/>
    <w:rsid w:val="FEFE3650"/>
    <w:rsid w:val="FF15921D"/>
    <w:rsid w:val="FF7721CC"/>
    <w:rsid w:val="FFBF5D9C"/>
    <w:rsid w:val="FFF6BA09"/>
    <w:rsid w:val="FFFBE2FF"/>
    <w:rsid w:val="FFFDD20A"/>
    <w:rsid w:val="FFFFED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9"/>
    <w:pPr>
      <w:keepNext/>
      <w:keepLines/>
      <w:numPr>
        <w:ilvl w:val="0"/>
        <w:numId w:val="1"/>
      </w:numPr>
      <w:outlineLvl w:val="0"/>
    </w:pPr>
    <w:rPr>
      <w:rFonts w:ascii="黑体" w:hAnsi="黑体" w:eastAsia="黑体"/>
      <w:b/>
      <w:bCs/>
      <w:kern w:val="44"/>
      <w:sz w:val="30"/>
      <w:szCs w:val="30"/>
    </w:rPr>
  </w:style>
  <w:style w:type="paragraph" w:styleId="3">
    <w:name w:val="heading 2"/>
    <w:basedOn w:val="1"/>
    <w:next w:val="1"/>
    <w:link w:val="34"/>
    <w:qFormat/>
    <w:uiPriority w:val="9"/>
    <w:pPr>
      <w:keepNext/>
      <w:keepLines/>
      <w:numPr>
        <w:ilvl w:val="1"/>
        <w:numId w:val="1"/>
      </w:numPr>
      <w:outlineLvl w:val="1"/>
    </w:pPr>
    <w:rPr>
      <w:rFonts w:ascii="黑体" w:hAnsi="黑体" w:eastAsia="黑体"/>
      <w:b/>
      <w:bCs/>
      <w:sz w:val="24"/>
      <w:szCs w:val="24"/>
    </w:rPr>
  </w:style>
  <w:style w:type="paragraph" w:styleId="4">
    <w:name w:val="heading 3"/>
    <w:basedOn w:val="1"/>
    <w:next w:val="1"/>
    <w:link w:val="27"/>
    <w:qFormat/>
    <w:uiPriority w:val="9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/>
      <w:b/>
      <w:bCs/>
      <w:kern w:val="0"/>
      <w:szCs w:val="21"/>
    </w:rPr>
  </w:style>
  <w:style w:type="paragraph" w:styleId="5">
    <w:name w:val="heading 4"/>
    <w:basedOn w:val="1"/>
    <w:next w:val="6"/>
    <w:link w:val="24"/>
    <w:qFormat/>
    <w:uiPriority w:val="9"/>
    <w:pPr>
      <w:keepNext/>
      <w:keepLines/>
      <w:numPr>
        <w:ilvl w:val="3"/>
        <w:numId w:val="1"/>
      </w:numPr>
      <w:outlineLvl w:val="3"/>
    </w:pPr>
    <w:rPr>
      <w:rFonts w:ascii="宋体" w:hAnsi="宋体"/>
      <w:b/>
      <w:bCs/>
      <w:kern w:val="0"/>
      <w:szCs w:val="24"/>
    </w:rPr>
  </w:style>
  <w:style w:type="paragraph" w:styleId="7">
    <w:name w:val="heading 5"/>
    <w:basedOn w:val="1"/>
    <w:next w:val="1"/>
    <w:link w:val="25"/>
    <w:qFormat/>
    <w:uiPriority w:val="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kern w:val="0"/>
      <w:sz w:val="28"/>
      <w:szCs w:val="28"/>
    </w:rPr>
  </w:style>
  <w:style w:type="paragraph" w:styleId="8">
    <w:name w:val="heading 6"/>
    <w:basedOn w:val="1"/>
    <w:next w:val="1"/>
    <w:link w:val="30"/>
    <w:qFormat/>
    <w:uiPriority w:val="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等线 Light" w:hAnsi="等线 Light" w:eastAsia="等线 Light"/>
      <w:b/>
      <w:bCs/>
      <w:kern w:val="0"/>
      <w:sz w:val="24"/>
      <w:szCs w:val="24"/>
    </w:rPr>
  </w:style>
  <w:style w:type="paragraph" w:styleId="9">
    <w:name w:val="heading 7"/>
    <w:basedOn w:val="1"/>
    <w:next w:val="1"/>
    <w:link w:val="31"/>
    <w:qFormat/>
    <w:uiPriority w:val="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kern w:val="0"/>
      <w:sz w:val="24"/>
      <w:szCs w:val="24"/>
    </w:rPr>
  </w:style>
  <w:style w:type="paragraph" w:styleId="10">
    <w:name w:val="heading 8"/>
    <w:basedOn w:val="1"/>
    <w:next w:val="1"/>
    <w:link w:val="33"/>
    <w:qFormat/>
    <w:uiPriority w:val="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等线 Light" w:hAnsi="等线 Light" w:eastAsia="等线 Light"/>
      <w:kern w:val="0"/>
      <w:sz w:val="24"/>
      <w:szCs w:val="24"/>
    </w:rPr>
  </w:style>
  <w:style w:type="paragraph" w:styleId="11">
    <w:name w:val="heading 9"/>
    <w:basedOn w:val="1"/>
    <w:next w:val="1"/>
    <w:link w:val="32"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等线 Light" w:hAnsi="等线 Light" w:eastAsia="等线 Light"/>
      <w:kern w:val="0"/>
      <w:sz w:val="20"/>
      <w:szCs w:val="21"/>
    </w:rPr>
  </w:style>
  <w:style w:type="character" w:default="1" w:styleId="22">
    <w:name w:val="Default Paragraph Font"/>
    <w:unhideWhenUsed/>
    <w:qFormat/>
    <w:uiPriority w:val="1"/>
  </w:style>
  <w:style w:type="table" w:default="1" w:styleId="20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样式1"/>
    <w:basedOn w:val="1"/>
    <w:qFormat/>
    <w:uiPriority w:val="0"/>
    <w:pPr>
      <w:spacing w:before="50" w:beforeLines="50" w:after="50" w:afterLines="50"/>
      <w:ind w:firstLine="200" w:firstLineChars="200"/>
    </w:pPr>
  </w:style>
  <w:style w:type="paragraph" w:styleId="12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13">
    <w:name w:val="Document Map"/>
    <w:basedOn w:val="1"/>
    <w:link w:val="35"/>
    <w:unhideWhenUsed/>
    <w:qFormat/>
    <w:uiPriority w:val="99"/>
    <w:rPr>
      <w:rFonts w:ascii="宋体"/>
      <w:sz w:val="18"/>
      <w:szCs w:val="18"/>
    </w:rPr>
  </w:style>
  <w:style w:type="paragraph" w:styleId="14">
    <w:name w:val="toc 3"/>
    <w:basedOn w:val="1"/>
    <w:next w:val="1"/>
    <w:qFormat/>
    <w:uiPriority w:val="39"/>
    <w:pPr>
      <w:ind w:left="840" w:leftChars="400"/>
    </w:pPr>
  </w:style>
  <w:style w:type="paragraph" w:styleId="15">
    <w:name w:val="Balloon Text"/>
    <w:basedOn w:val="1"/>
    <w:link w:val="28"/>
    <w:unhideWhenUsed/>
    <w:qFormat/>
    <w:uiPriority w:val="99"/>
    <w:rPr>
      <w:sz w:val="18"/>
      <w:szCs w:val="18"/>
    </w:rPr>
  </w:style>
  <w:style w:type="paragraph" w:styleId="16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7">
    <w:name w:val="header"/>
    <w:basedOn w:val="1"/>
    <w:link w:val="2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toc 1"/>
    <w:basedOn w:val="1"/>
    <w:next w:val="1"/>
    <w:unhideWhenUsed/>
    <w:qFormat/>
    <w:uiPriority w:val="39"/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</w:style>
  <w:style w:type="table" w:styleId="21">
    <w:name w:val="Table Grid"/>
    <w:basedOn w:val="2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Hyperlink"/>
    <w:unhideWhenUsed/>
    <w:qFormat/>
    <w:uiPriority w:val="99"/>
    <w:rPr>
      <w:color w:val="0563C1"/>
      <w:u w:val="single"/>
    </w:rPr>
  </w:style>
  <w:style w:type="character" w:customStyle="1" w:styleId="24">
    <w:name w:val="标题 4 Char"/>
    <w:link w:val="5"/>
    <w:qFormat/>
    <w:uiPriority w:val="9"/>
    <w:rPr>
      <w:rFonts w:ascii="宋体" w:hAnsi="宋体" w:eastAsia="宋体"/>
      <w:b/>
      <w:bCs/>
      <w:sz w:val="21"/>
      <w:szCs w:val="24"/>
    </w:rPr>
  </w:style>
  <w:style w:type="character" w:customStyle="1" w:styleId="25">
    <w:name w:val="标题 5 Char"/>
    <w:link w:val="7"/>
    <w:qFormat/>
    <w:uiPriority w:val="9"/>
    <w:rPr>
      <w:rFonts w:eastAsia="宋体"/>
      <w:b/>
      <w:bCs/>
      <w:sz w:val="28"/>
      <w:szCs w:val="28"/>
    </w:rPr>
  </w:style>
  <w:style w:type="character" w:customStyle="1" w:styleId="26">
    <w:name w:val="页脚 Char"/>
    <w:link w:val="16"/>
    <w:qFormat/>
    <w:uiPriority w:val="99"/>
    <w:rPr>
      <w:rFonts w:ascii="等线" w:hAnsi="等线" w:eastAsia="宋体" w:cs="Times New Roman"/>
      <w:sz w:val="18"/>
      <w:szCs w:val="18"/>
    </w:rPr>
  </w:style>
  <w:style w:type="character" w:customStyle="1" w:styleId="27">
    <w:name w:val="标题 3 Char"/>
    <w:link w:val="4"/>
    <w:qFormat/>
    <w:uiPriority w:val="9"/>
    <w:rPr>
      <w:rFonts w:ascii="宋体" w:hAnsi="宋体" w:eastAsia="宋体"/>
      <w:b/>
      <w:bCs/>
      <w:sz w:val="21"/>
      <w:szCs w:val="21"/>
    </w:rPr>
  </w:style>
  <w:style w:type="character" w:customStyle="1" w:styleId="28">
    <w:name w:val="批注框文本 Char"/>
    <w:link w:val="15"/>
    <w:semiHidden/>
    <w:qFormat/>
    <w:uiPriority w:val="99"/>
    <w:rPr>
      <w:rFonts w:eastAsia="宋体"/>
      <w:kern w:val="2"/>
      <w:sz w:val="18"/>
      <w:szCs w:val="18"/>
    </w:rPr>
  </w:style>
  <w:style w:type="character" w:customStyle="1" w:styleId="29">
    <w:name w:val="页眉 Char"/>
    <w:link w:val="17"/>
    <w:qFormat/>
    <w:uiPriority w:val="99"/>
    <w:rPr>
      <w:rFonts w:ascii="等线" w:hAnsi="等线" w:eastAsia="宋体" w:cs="Times New Roman"/>
      <w:sz w:val="18"/>
      <w:szCs w:val="18"/>
    </w:rPr>
  </w:style>
  <w:style w:type="character" w:customStyle="1" w:styleId="30">
    <w:name w:val="标题 6 Char"/>
    <w:link w:val="8"/>
    <w:qFormat/>
    <w:uiPriority w:val="9"/>
    <w:rPr>
      <w:rFonts w:ascii="等线 Light" w:hAnsi="等线 Light" w:eastAsia="等线 Light"/>
      <w:b/>
      <w:bCs/>
      <w:sz w:val="24"/>
      <w:szCs w:val="24"/>
    </w:rPr>
  </w:style>
  <w:style w:type="character" w:customStyle="1" w:styleId="31">
    <w:name w:val="标题 7 Char"/>
    <w:link w:val="9"/>
    <w:qFormat/>
    <w:uiPriority w:val="9"/>
    <w:rPr>
      <w:rFonts w:eastAsia="宋体"/>
      <w:b/>
      <w:bCs/>
      <w:sz w:val="24"/>
      <w:szCs w:val="24"/>
    </w:rPr>
  </w:style>
  <w:style w:type="character" w:customStyle="1" w:styleId="32">
    <w:name w:val="标题 9 Char"/>
    <w:link w:val="11"/>
    <w:qFormat/>
    <w:uiPriority w:val="9"/>
    <w:rPr>
      <w:rFonts w:ascii="等线 Light" w:hAnsi="等线 Light" w:eastAsia="等线 Light"/>
      <w:szCs w:val="21"/>
    </w:rPr>
  </w:style>
  <w:style w:type="character" w:customStyle="1" w:styleId="33">
    <w:name w:val="标题 8 Char"/>
    <w:link w:val="10"/>
    <w:qFormat/>
    <w:uiPriority w:val="9"/>
    <w:rPr>
      <w:rFonts w:ascii="等线 Light" w:hAnsi="等线 Light" w:eastAsia="等线 Light"/>
      <w:sz w:val="24"/>
      <w:szCs w:val="24"/>
    </w:rPr>
  </w:style>
  <w:style w:type="character" w:customStyle="1" w:styleId="34">
    <w:name w:val="标题 2 Char"/>
    <w:link w:val="3"/>
    <w:qFormat/>
    <w:uiPriority w:val="9"/>
    <w:rPr>
      <w:rFonts w:ascii="黑体" w:hAnsi="黑体" w:eastAsia="黑体"/>
      <w:b/>
      <w:bCs/>
      <w:kern w:val="2"/>
      <w:sz w:val="24"/>
      <w:szCs w:val="24"/>
    </w:rPr>
  </w:style>
  <w:style w:type="character" w:customStyle="1" w:styleId="35">
    <w:name w:val="文档结构图 Char"/>
    <w:link w:val="13"/>
    <w:semiHidden/>
    <w:qFormat/>
    <w:uiPriority w:val="99"/>
    <w:rPr>
      <w:rFonts w:ascii="宋体" w:eastAsia="宋体"/>
      <w:kern w:val="2"/>
      <w:sz w:val="18"/>
      <w:szCs w:val="18"/>
    </w:rPr>
  </w:style>
  <w:style w:type="character" w:customStyle="1" w:styleId="36">
    <w:name w:val="标题 1 Char"/>
    <w:link w:val="2"/>
    <w:qFormat/>
    <w:uiPriority w:val="9"/>
    <w:rPr>
      <w:rFonts w:ascii="黑体" w:hAnsi="黑体" w:eastAsia="黑体"/>
      <w:b/>
      <w:bCs/>
      <w:kern w:val="44"/>
      <w:sz w:val="30"/>
      <w:szCs w:val="30"/>
    </w:rPr>
  </w:style>
  <w:style w:type="paragraph" w:customStyle="1" w:styleId="37">
    <w:name w:val="tofly正文"/>
    <w:basedOn w:val="1"/>
    <w:link w:val="40"/>
    <w:qFormat/>
    <w:uiPriority w:val="0"/>
    <w:pPr>
      <w:ind w:firstLine="200" w:firstLineChars="200"/>
    </w:pPr>
  </w:style>
  <w:style w:type="paragraph" w:customStyle="1" w:styleId="38">
    <w:name w:val="_Style 36"/>
    <w:basedOn w:val="2"/>
    <w:next w:val="1"/>
    <w:qFormat/>
    <w:uiPriority w:val="39"/>
    <w:pPr>
      <w:widowControl/>
      <w:numPr>
        <w:ilvl w:val="0"/>
        <w:numId w:val="0"/>
      </w:numPr>
      <w:spacing w:before="240" w:line="259" w:lineRule="auto"/>
      <w:jc w:val="left"/>
      <w:outlineLvl w:val="9"/>
    </w:pPr>
    <w:rPr>
      <w:rFonts w:ascii="等线 Light" w:hAnsi="等线 Light" w:eastAsia="等线 Light" w:cs="Times New Roman"/>
      <w:b w:val="0"/>
      <w:bCs w:val="0"/>
      <w:color w:val="2E74B5"/>
      <w:kern w:val="0"/>
      <w:sz w:val="32"/>
      <w:szCs w:val="32"/>
    </w:rPr>
  </w:style>
  <w:style w:type="paragraph" w:customStyle="1" w:styleId="39">
    <w:name w:val="样式3"/>
    <w:basedOn w:val="1"/>
    <w:qFormat/>
    <w:uiPriority w:val="0"/>
    <w:pPr>
      <w:spacing w:before="50" w:beforeLines="50" w:after="50" w:afterLines="50"/>
      <w:ind w:firstLine="200" w:firstLineChars="200"/>
    </w:pPr>
    <w:rPr>
      <w:rFonts w:ascii="宋体" w:hAnsi="宋体"/>
      <w:szCs w:val="21"/>
    </w:rPr>
  </w:style>
  <w:style w:type="character" w:customStyle="1" w:styleId="40">
    <w:name w:val="tofly正文 Char"/>
    <w:link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2006</Words>
  <Characters>2363</Characters>
  <Lines>187</Lines>
  <Paragraphs>52</Paragraphs>
  <TotalTime>84</TotalTime>
  <ScaleCrop>false</ScaleCrop>
  <LinksUpToDate>false</LinksUpToDate>
  <CharactersWithSpaces>2475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2017-02-04T09:44:00Z</dcterms:created>
  <dc:creator>admin</dc:creator>
  <cp:lastModifiedBy>冬瓜</cp:lastModifiedBy>
  <cp:lastPrinted>2017-03-02T21:26:00Z</cp:lastPrinted>
  <dcterms:modified xsi:type="dcterms:W3CDTF">2026-04-23T02:36:38Z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0003E63700494EC09CC2190936B91468_13</vt:lpwstr>
  </property>
  <property fmtid="{D5CDD505-2E9C-101B-9397-08002B2CF9AE}" pid="4" name="KSOTemplateDocerSaveRecord">
    <vt:lpwstr>eyJoZGlkIjoiYWJmNTAxYTA0NTllZTU0OWY5NWY0MWNlMzBjNGU2OTYiLCJ1c2VySWQiOiIyMzk1OTUwNDgifQ==</vt:lpwstr>
  </property>
</Properties>
</file>